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7209" w14:textId="77777777" w:rsidR="00643A2D" w:rsidRDefault="00643A2D" w:rsidP="00643A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3A2D">
        <w:rPr>
          <w:rFonts w:ascii="Arial" w:hAnsi="Arial" w:cs="Arial"/>
          <w:b/>
          <w:bCs/>
          <w:sz w:val="28"/>
          <w:szCs w:val="28"/>
        </w:rPr>
        <w:t>Exercices sur la notion de réactif limitant</w:t>
      </w:r>
    </w:p>
    <w:p w14:paraId="55CC9D64" w14:textId="6E46F12C" w:rsidR="006A0592" w:rsidRPr="00643A2D" w:rsidRDefault="001C2298" w:rsidP="00643A2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AIDES</w:t>
      </w:r>
    </w:p>
    <w:p w14:paraId="2659DC89" w14:textId="2BBCAA03" w:rsidR="00957CC0" w:rsidRPr="00643A2D" w:rsidRDefault="00643A2D">
      <w:pPr>
        <w:rPr>
          <w:rFonts w:ascii="Arial" w:hAnsi="Arial" w:cs="Arial"/>
          <w:b/>
          <w:bCs/>
        </w:rPr>
      </w:pPr>
      <w:r w:rsidRPr="00643A2D">
        <w:rPr>
          <w:rFonts w:ascii="Arial" w:hAnsi="Arial" w:cs="Arial"/>
          <w:b/>
          <w:bCs/>
        </w:rPr>
        <w:t>Exercice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17"/>
        <w:gridCol w:w="3245"/>
      </w:tblGrid>
      <w:tr w:rsidR="00643A2D" w:rsidRPr="00643A2D" w14:paraId="1081E30B" w14:textId="77777777" w:rsidTr="00643A2D">
        <w:tc>
          <w:tcPr>
            <w:tcW w:w="5920" w:type="dxa"/>
          </w:tcPr>
          <w:p w14:paraId="760464A5" w14:textId="023012A8" w:rsidR="00643A2D" w:rsidRPr="00643A2D" w:rsidRDefault="001A2D53" w:rsidP="00643A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Indications pour répondre à la question posée</w:t>
            </w:r>
          </w:p>
        </w:tc>
        <w:tc>
          <w:tcPr>
            <w:tcW w:w="3292" w:type="dxa"/>
          </w:tcPr>
          <w:p w14:paraId="2195F26C" w14:textId="7735DCF6" w:rsidR="00643A2D" w:rsidRPr="00643A2D" w:rsidRDefault="00643A2D" w:rsidP="00643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43A2D">
              <w:rPr>
                <w:rFonts w:ascii="Arial" w:hAnsi="Arial" w:cs="Arial"/>
                <w:b/>
                <w:bCs/>
              </w:rPr>
              <w:t>Commentaires</w:t>
            </w:r>
          </w:p>
        </w:tc>
      </w:tr>
      <w:tr w:rsidR="00643A2D" w:rsidRPr="00643A2D" w14:paraId="4C022A2A" w14:textId="77777777" w:rsidTr="00643A2D">
        <w:tc>
          <w:tcPr>
            <w:tcW w:w="5920" w:type="dxa"/>
          </w:tcPr>
          <w:p w14:paraId="5ED7456A" w14:textId="77777777" w:rsidR="00643A2D" w:rsidRDefault="001A2D53" w:rsidP="001A2D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ne dispose pas de l’équation de réaction chimique, ni des quantités initiales en réactif. Donc on n’attend pas un calcul.</w:t>
            </w:r>
          </w:p>
          <w:p w14:paraId="0658D20B" w14:textId="77777777" w:rsidR="001A2D53" w:rsidRDefault="001A2D53" w:rsidP="001A2D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faut identifier le réactif qui a entièrement disparu. </w:t>
            </w:r>
          </w:p>
          <w:p w14:paraId="4FE46D03" w14:textId="77777777" w:rsidR="001A2D53" w:rsidRDefault="001A2D53" w:rsidP="001A2D53">
            <w:pPr>
              <w:jc w:val="both"/>
              <w:rPr>
                <w:rFonts w:ascii="Arial" w:hAnsi="Arial" w:cs="Arial"/>
              </w:rPr>
            </w:pPr>
          </w:p>
          <w:p w14:paraId="20ECDFCC" w14:textId="187EB4A2" w:rsidR="001A2D53" w:rsidRDefault="001A2D53" w:rsidP="001A2D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Choisir, parmi les informations suivantes, celle qui vous permet de conclure :</w:t>
            </w:r>
          </w:p>
          <w:p w14:paraId="0D65C77B" w14:textId="4F82086F" w:rsidR="001A2D53" w:rsidRPr="001A2D53" w:rsidRDefault="001A2D53" w:rsidP="00A52902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</w:t>
            </w:r>
            <w:proofErr w:type="gramStart"/>
            <w:r>
              <w:rPr>
                <w:rFonts w:ascii="Arial" w:hAnsi="Arial" w:cs="Arial"/>
              </w:rPr>
              <w:t>transformation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A062F3">
              <w:rPr>
                <w:rFonts w:ascii="Arial" w:hAnsi="Arial" w:cs="Arial"/>
              </w:rPr>
              <w:t xml:space="preserve">entre les ions </w:t>
            </w:r>
            <m:oMath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(aq) </m:t>
              </m:r>
            </m:oMath>
            <w:r>
              <w:rPr>
                <w:rFonts w:ascii="Arial" w:eastAsiaTheme="minorEastAsia" w:hAnsi="Arial" w:cs="Arial"/>
              </w:rPr>
              <w:t>[…]</w:t>
            </w:r>
            <w:r w:rsidRPr="00A062F3">
              <w:rPr>
                <w:rFonts w:ascii="Arial" w:eastAsiaTheme="minorEastAsia" w:hAnsi="Arial" w:cs="Arial"/>
              </w:rPr>
              <w:t xml:space="preserve"> et le métal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Cu(s)</m:t>
              </m:r>
            </m:oMath>
            <w:r>
              <w:rPr>
                <w:rFonts w:ascii="Arial" w:eastAsiaTheme="minorEastAsia" w:hAnsi="Arial" w:cs="Arial"/>
              </w:rPr>
              <w:t> » ;</w:t>
            </w:r>
          </w:p>
          <w:p w14:paraId="6F8676C6" w14:textId="4D42594D" w:rsidR="001A2D53" w:rsidRPr="001A2D53" w:rsidRDefault="001A2D53" w:rsidP="00A52902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« </w:t>
            </w:r>
            <w:proofErr w:type="gramStart"/>
            <w:r>
              <w:rPr>
                <w:rFonts w:ascii="Arial" w:eastAsiaTheme="minorEastAsia" w:hAnsi="Arial" w:cs="Arial"/>
              </w:rPr>
              <w:t>la</w:t>
            </w:r>
            <w:proofErr w:type="gramEnd"/>
            <w:r>
              <w:rPr>
                <w:rFonts w:ascii="Arial" w:eastAsiaTheme="minorEastAsia" w:hAnsi="Arial" w:cs="Arial"/>
              </w:rPr>
              <w:t xml:space="preserve"> solution est homogène » ;</w:t>
            </w:r>
          </w:p>
          <w:p w14:paraId="451E050C" w14:textId="1FDF9A35" w:rsidR="001A2D53" w:rsidRDefault="001A2D53" w:rsidP="00A52902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</w:t>
            </w:r>
            <w:proofErr w:type="gramStart"/>
            <w:r>
              <w:rPr>
                <w:rFonts w:ascii="Arial" w:hAnsi="Arial" w:cs="Arial"/>
              </w:rPr>
              <w:t>et</w:t>
            </w:r>
            <w:proofErr w:type="gramEnd"/>
            <w:r>
              <w:rPr>
                <w:rFonts w:ascii="Arial" w:hAnsi="Arial" w:cs="Arial"/>
              </w:rPr>
              <w:t xml:space="preserve"> de couleur bleue » ;</w:t>
            </w:r>
          </w:p>
          <w:p w14:paraId="52AEE319" w14:textId="6B5342DF" w:rsidR="001A2D53" w:rsidRPr="00A52902" w:rsidRDefault="001A2D53" w:rsidP="00A52902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On mesure un pH inférieur à 7 ».</w:t>
            </w:r>
          </w:p>
        </w:tc>
        <w:tc>
          <w:tcPr>
            <w:tcW w:w="3292" w:type="dxa"/>
          </w:tcPr>
          <w:p w14:paraId="1A4B0B6E" w14:textId="6078091F" w:rsidR="00643A2D" w:rsidRPr="00643A2D" w:rsidRDefault="001A2D53" w:rsidP="001A2D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est indispensable de bien connaître la définition du réactif limitant pour résoudre les exercices où il n’y a pas de calculs à faire.</w:t>
            </w:r>
          </w:p>
        </w:tc>
      </w:tr>
    </w:tbl>
    <w:p w14:paraId="59C36DC0" w14:textId="0005A157" w:rsidR="00643A2D" w:rsidRDefault="00643A2D">
      <w:pPr>
        <w:rPr>
          <w:rFonts w:ascii="Arial" w:hAnsi="Arial" w:cs="Arial"/>
        </w:rPr>
      </w:pPr>
    </w:p>
    <w:p w14:paraId="0F9AD67F" w14:textId="166DF8F9" w:rsidR="00643A2D" w:rsidRPr="00643A2D" w:rsidRDefault="00643A2D">
      <w:pPr>
        <w:rPr>
          <w:rFonts w:ascii="Arial" w:hAnsi="Arial" w:cs="Arial"/>
          <w:b/>
          <w:bCs/>
        </w:rPr>
      </w:pPr>
      <w:r w:rsidRPr="00643A2D">
        <w:rPr>
          <w:rFonts w:ascii="Arial" w:hAnsi="Arial" w:cs="Arial"/>
          <w:b/>
          <w:bCs/>
        </w:rPr>
        <w:t>Exercice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8"/>
        <w:gridCol w:w="3254"/>
      </w:tblGrid>
      <w:tr w:rsidR="001A2D53" w:rsidRPr="00643A2D" w14:paraId="5CCAFFA1" w14:textId="77777777" w:rsidTr="001B18AD">
        <w:tc>
          <w:tcPr>
            <w:tcW w:w="5920" w:type="dxa"/>
          </w:tcPr>
          <w:p w14:paraId="26D12CEC" w14:textId="77777777" w:rsidR="001A2D53" w:rsidRPr="00643A2D" w:rsidRDefault="001A2D53" w:rsidP="001B18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Indications pour répondre à la question posée</w:t>
            </w:r>
          </w:p>
        </w:tc>
        <w:tc>
          <w:tcPr>
            <w:tcW w:w="3292" w:type="dxa"/>
          </w:tcPr>
          <w:p w14:paraId="41B5214B" w14:textId="77777777" w:rsidR="001A2D53" w:rsidRPr="00643A2D" w:rsidRDefault="001A2D53" w:rsidP="001B18AD">
            <w:pPr>
              <w:jc w:val="center"/>
              <w:rPr>
                <w:rFonts w:ascii="Arial" w:hAnsi="Arial" w:cs="Arial"/>
                <w:b/>
                <w:bCs/>
              </w:rPr>
            </w:pPr>
            <w:r w:rsidRPr="00643A2D">
              <w:rPr>
                <w:rFonts w:ascii="Arial" w:hAnsi="Arial" w:cs="Arial"/>
                <w:b/>
                <w:bCs/>
              </w:rPr>
              <w:t>Commentaires</w:t>
            </w:r>
          </w:p>
        </w:tc>
      </w:tr>
      <w:tr w:rsidR="001A2D53" w:rsidRPr="00643A2D" w14:paraId="4EC58935" w14:textId="77777777" w:rsidTr="001B18AD">
        <w:tc>
          <w:tcPr>
            <w:tcW w:w="5920" w:type="dxa"/>
          </w:tcPr>
          <w:p w14:paraId="0DA8B722" w14:textId="77777777" w:rsidR="001A2D53" w:rsidRDefault="001A2D53" w:rsidP="001A2D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L’exercice est plutôt simple, car les nombres stœchiométriques sont tous égaux à 1.</w:t>
            </w:r>
          </w:p>
          <w:p w14:paraId="131F2145" w14:textId="226C84BD" w:rsidR="001A2D53" w:rsidRDefault="001A2D53" w:rsidP="001A2D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Comparez les quantités initiales en réactifs, coefficientées des nombres </w:t>
            </w:r>
            <w:r w:rsidR="00A52902">
              <w:rPr>
                <w:rFonts w:ascii="Arial" w:hAnsi="Arial" w:cs="Arial"/>
              </w:rPr>
              <w:t>stœchiométriques</w:t>
            </w:r>
            <w:r>
              <w:rPr>
                <w:rFonts w:ascii="Arial" w:hAnsi="Arial" w:cs="Arial"/>
              </w:rPr>
              <w:t>. Autrement dit, calculez :</w:t>
            </w:r>
          </w:p>
          <w:p w14:paraId="225A923B" w14:textId="11AB1F64" w:rsidR="001A2D53" w:rsidRPr="001A2D53" w:rsidRDefault="001E3080" w:rsidP="001A2D53">
            <w:pPr>
              <w:jc w:val="both"/>
              <w:rPr>
                <w:rFonts w:ascii="Arial" w:eastAsiaTheme="minorEastAsia" w:hAnsi="Arial" w:cs="Arial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C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ial"/>
                      </w:rPr>
                      <m:t>1</m:t>
                    </m:r>
                  </m:den>
                </m:f>
                <m:r>
                  <w:rPr>
                    <w:rFonts w:ascii="Cambria Math" w:hAnsi="Cambria Math" w:cs="Arial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et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 w:cs="Arial"/>
                      </w:rPr>
                      <m:t>1</m:t>
                    </m:r>
                  </m:den>
                </m:f>
              </m:oMath>
            </m:oMathPara>
          </w:p>
          <w:p w14:paraId="4332ECA7" w14:textId="77777777" w:rsidR="001A2D53" w:rsidRDefault="001A2D53" w:rsidP="001A2D5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Comparez ensuite ces quantités, pour apporter une conclusion.</w:t>
            </w:r>
          </w:p>
          <w:p w14:paraId="04600FAA" w14:textId="77777777" w:rsidR="00DE2F4D" w:rsidRDefault="00DE2F4D" w:rsidP="001A2D53">
            <w:pPr>
              <w:jc w:val="both"/>
              <w:rPr>
                <w:rFonts w:ascii="Arial" w:hAnsi="Arial" w:cs="Arial"/>
                <w:iCs/>
              </w:rPr>
            </w:pPr>
          </w:p>
          <w:p w14:paraId="5DEDD26D" w14:textId="65FB5BA6" w:rsidR="00DE2F4D" w:rsidRPr="001A2D53" w:rsidRDefault="00DE2F4D" w:rsidP="001A2D5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Si vous avez des difficultés avec les puissances de 10, réécrivez les nombres en écriture décimale (</w:t>
            </w:r>
            <m:oMath>
              <m:r>
                <w:rPr>
                  <w:rFonts w:ascii="Cambria Math" w:hAnsi="Cambria Math" w:cs="Arial"/>
                </w:rPr>
                <m:t xml:space="preserve">0,05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mol</m:t>
              </m:r>
            </m:oMath>
            <w:r>
              <w:rPr>
                <w:rFonts w:ascii="Arial" w:eastAsiaTheme="minorEastAsia" w:hAnsi="Arial" w:cs="Arial"/>
                <w:iCs/>
              </w:rPr>
              <w:t xml:space="preserve"> et 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0,10 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mol</m:t>
              </m:r>
            </m:oMath>
            <w:r>
              <w:rPr>
                <w:rFonts w:ascii="Arial" w:eastAsiaTheme="minorEastAsia" w:hAnsi="Arial" w:cs="Arial"/>
                <w:iCs/>
              </w:rPr>
              <w:t>).</w:t>
            </w:r>
          </w:p>
        </w:tc>
        <w:tc>
          <w:tcPr>
            <w:tcW w:w="3292" w:type="dxa"/>
          </w:tcPr>
          <w:p w14:paraId="10F36F05" w14:textId="77777777" w:rsidR="001A2D53" w:rsidRDefault="00DE2F4D" w:rsidP="001A2D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réactif limitant est le réactif qui s’épuise en premier. Cela permet de conclure après le calcul.</w:t>
            </w:r>
          </w:p>
          <w:p w14:paraId="07AE8F8B" w14:textId="50B78272" w:rsidR="00DE2F4D" w:rsidRPr="00643A2D" w:rsidRDefault="00DE2F4D" w:rsidP="001A2D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Attention, c’est un exercice « simple », les nombres </w:t>
            </w:r>
            <w:r w:rsidR="00A52902">
              <w:rPr>
                <w:rFonts w:ascii="Arial" w:hAnsi="Arial" w:cs="Arial"/>
              </w:rPr>
              <w:t>stœchiométriques</w:t>
            </w:r>
            <w:r>
              <w:rPr>
                <w:rFonts w:ascii="Arial" w:hAnsi="Arial" w:cs="Arial"/>
              </w:rPr>
              <w:t xml:space="preserve"> ne sont pas toujours égaux à 1.</w:t>
            </w:r>
          </w:p>
        </w:tc>
      </w:tr>
    </w:tbl>
    <w:p w14:paraId="3E93821B" w14:textId="77777777" w:rsidR="00643A2D" w:rsidRDefault="00643A2D">
      <w:pPr>
        <w:rPr>
          <w:rFonts w:ascii="Arial" w:hAnsi="Arial" w:cs="Arial"/>
        </w:rPr>
      </w:pPr>
    </w:p>
    <w:p w14:paraId="0ED337BD" w14:textId="1A275EA4" w:rsidR="002F498E" w:rsidRPr="00234585" w:rsidRDefault="002F498E">
      <w:pPr>
        <w:rPr>
          <w:rFonts w:ascii="Arial" w:hAnsi="Arial" w:cs="Arial"/>
          <w:b/>
          <w:bCs/>
        </w:rPr>
      </w:pPr>
      <w:r w:rsidRPr="00234585">
        <w:rPr>
          <w:rFonts w:ascii="Arial" w:hAnsi="Arial" w:cs="Arial"/>
          <w:b/>
          <w:bCs/>
        </w:rPr>
        <w:t>Exercice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15"/>
        <w:gridCol w:w="3247"/>
      </w:tblGrid>
      <w:tr w:rsidR="00DE2F4D" w:rsidRPr="00643A2D" w14:paraId="70CB63CA" w14:textId="77777777" w:rsidTr="001B18AD">
        <w:tc>
          <w:tcPr>
            <w:tcW w:w="5920" w:type="dxa"/>
          </w:tcPr>
          <w:p w14:paraId="6054BF3E" w14:textId="77777777" w:rsidR="00DE2F4D" w:rsidRPr="00643A2D" w:rsidRDefault="00DE2F4D" w:rsidP="001B18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Indications pour répondre à la question posée</w:t>
            </w:r>
          </w:p>
        </w:tc>
        <w:tc>
          <w:tcPr>
            <w:tcW w:w="3292" w:type="dxa"/>
          </w:tcPr>
          <w:p w14:paraId="2E398C62" w14:textId="77777777" w:rsidR="00DE2F4D" w:rsidRPr="00643A2D" w:rsidRDefault="00DE2F4D" w:rsidP="001B18AD">
            <w:pPr>
              <w:jc w:val="center"/>
              <w:rPr>
                <w:rFonts w:ascii="Arial" w:hAnsi="Arial" w:cs="Arial"/>
                <w:b/>
                <w:bCs/>
              </w:rPr>
            </w:pPr>
            <w:r w:rsidRPr="00643A2D">
              <w:rPr>
                <w:rFonts w:ascii="Arial" w:hAnsi="Arial" w:cs="Arial"/>
                <w:b/>
                <w:bCs/>
              </w:rPr>
              <w:t>Commentaires</w:t>
            </w:r>
          </w:p>
        </w:tc>
      </w:tr>
      <w:tr w:rsidR="00DE2F4D" w:rsidRPr="00643A2D" w14:paraId="21CC485B" w14:textId="77777777" w:rsidTr="001B18AD">
        <w:tc>
          <w:tcPr>
            <w:tcW w:w="5920" w:type="dxa"/>
          </w:tcPr>
          <w:p w14:paraId="501B2F1A" w14:textId="77777777" w:rsidR="00DE2F4D" w:rsidRDefault="00DE2F4D" w:rsidP="001B18A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DE2F4D">
              <w:rPr>
                <w:rFonts w:ascii="Arial" w:hAnsi="Arial" w:cs="Arial"/>
              </w:rPr>
              <w:t>L’exercice est cette fois un peu plus complexe, car les nombres stœchiométriques sont égaux à 2 et à 6, pour les réactifs.</w:t>
            </w:r>
          </w:p>
          <w:p w14:paraId="10FA9A59" w14:textId="7C39CA84" w:rsidR="00DE2F4D" w:rsidRPr="00DE2F4D" w:rsidRDefault="00DE2F4D" w:rsidP="00DE2F4D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  <w:r w:rsidRPr="00DE2F4D">
              <w:rPr>
                <w:rFonts w:ascii="Arial" w:hAnsi="Arial" w:cs="Arial"/>
              </w:rPr>
              <w:t>Choisissez parmi les différentes possibilités les quantités à calculer :</w:t>
            </w:r>
          </w:p>
          <w:p w14:paraId="5E8DA47A" w14:textId="1EE72042" w:rsidR="00DE2F4D" w:rsidRDefault="001E3080" w:rsidP="00DE2F4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eastAsiaTheme="minorEastAsia" w:hAnsi="Arial" w:cs="Arial"/>
                <w:i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eastAsiaTheme="minorEastAsia" w:hAnsi="Cambria Math" w:cs="Arial"/>
                        </w:rPr>
                        <m:t>l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den>
              </m:f>
            </m:oMath>
            <w:r w:rsidR="00DE2F4D">
              <w:rPr>
                <w:rFonts w:ascii="Arial" w:eastAsiaTheme="minorEastAsia" w:hAnsi="Arial" w:cs="Arial"/>
                <w:i/>
              </w:rPr>
              <w:t xml:space="preserve"> </w:t>
            </w:r>
            <w:proofErr w:type="gramStart"/>
            <w:r w:rsidR="00DE2F4D">
              <w:rPr>
                <w:rFonts w:ascii="Arial" w:eastAsiaTheme="minorEastAsia" w:hAnsi="Arial" w:cs="Arial"/>
                <w:i/>
              </w:rPr>
              <w:t>et</w:t>
            </w:r>
            <w:proofErr w:type="gramEnd"/>
            <w:r w:rsidR="00DE2F4D">
              <w:rPr>
                <w:rFonts w:ascii="Arial" w:eastAsiaTheme="minorEastAsia" w:hAnsi="Arial" w:cs="Arial"/>
                <w:i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</w:rPr>
                            <m:t>O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</w:rPr>
                            <m:t>+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den>
              </m:f>
            </m:oMath>
            <w:r w:rsidR="00DE2F4D">
              <w:rPr>
                <w:rFonts w:ascii="Arial" w:eastAsiaTheme="minorEastAsia" w:hAnsi="Arial" w:cs="Arial"/>
                <w:i/>
              </w:rPr>
              <w:t> ;</w:t>
            </w:r>
          </w:p>
          <w:p w14:paraId="12CC54C6" w14:textId="39EBD1A4" w:rsidR="00DE2F4D" w:rsidRPr="00DE2F4D" w:rsidRDefault="001E3080" w:rsidP="00DE2F4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eastAsiaTheme="minorEastAsia" w:hAnsi="Arial" w:cs="Arial"/>
                <w:i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eastAsiaTheme="minorEastAsia" w:hAnsi="Cambria Math" w:cs="Arial"/>
                        </w:rPr>
                        <m:t>l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den>
              </m:f>
            </m:oMath>
            <w:r w:rsidR="00DE2F4D">
              <w:rPr>
                <w:rFonts w:ascii="Arial" w:eastAsiaTheme="minorEastAsia" w:hAnsi="Arial" w:cs="Arial"/>
                <w:i/>
              </w:rPr>
              <w:t xml:space="preserve"> </w:t>
            </w:r>
            <w:proofErr w:type="gramStart"/>
            <w:r w:rsidR="00DE2F4D">
              <w:rPr>
                <w:rFonts w:ascii="Arial" w:eastAsiaTheme="minorEastAsia" w:hAnsi="Arial" w:cs="Arial"/>
                <w:i/>
              </w:rPr>
              <w:t>et</w:t>
            </w:r>
            <w:proofErr w:type="gramEnd"/>
            <w:r w:rsidR="00DE2F4D">
              <w:rPr>
                <w:rFonts w:ascii="Arial" w:eastAsiaTheme="minorEastAsia" w:hAnsi="Arial" w:cs="Arial"/>
                <w:i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</w:rPr>
                            <m:t>O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</w:rPr>
                            <m:t>+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6</m:t>
                  </m:r>
                </m:den>
              </m:f>
            </m:oMath>
            <w:r w:rsidR="00DE2F4D">
              <w:rPr>
                <w:rFonts w:ascii="Arial" w:eastAsiaTheme="minorEastAsia" w:hAnsi="Arial" w:cs="Arial"/>
                <w:i/>
              </w:rPr>
              <w:t> ;</w:t>
            </w:r>
          </w:p>
          <w:p w14:paraId="2C4F706B" w14:textId="50BF6E0A" w:rsidR="00DE2F4D" w:rsidRPr="00DE2F4D" w:rsidRDefault="001E3080" w:rsidP="00DE2F4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eastAsiaTheme="minorEastAsia" w:hAnsi="Arial" w:cs="Arial"/>
                <w:i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eastAsiaTheme="minorEastAsia" w:hAnsi="Cambria Math" w:cs="Arial"/>
                        </w:rPr>
                        <m:t>l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6</m:t>
                  </m:r>
                </m:den>
              </m:f>
            </m:oMath>
            <w:r w:rsidR="00DE2F4D">
              <w:rPr>
                <w:rFonts w:ascii="Arial" w:eastAsiaTheme="minorEastAsia" w:hAnsi="Arial" w:cs="Arial"/>
                <w:i/>
              </w:rPr>
              <w:t xml:space="preserve"> </w:t>
            </w:r>
            <w:proofErr w:type="gramStart"/>
            <w:r w:rsidR="00DE2F4D">
              <w:rPr>
                <w:rFonts w:ascii="Arial" w:eastAsiaTheme="minorEastAsia" w:hAnsi="Arial" w:cs="Arial"/>
                <w:i/>
              </w:rPr>
              <w:t>et</w:t>
            </w:r>
            <w:proofErr w:type="gramEnd"/>
            <w:r w:rsidR="00DE2F4D">
              <w:rPr>
                <w:rFonts w:ascii="Arial" w:eastAsiaTheme="minorEastAsia" w:hAnsi="Arial" w:cs="Arial"/>
                <w:i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</w:rPr>
                            <m:t>O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</w:rPr>
                            <m:t>+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>.</m:t>
              </m:r>
            </m:oMath>
          </w:p>
          <w:p w14:paraId="486981DC" w14:textId="77777777" w:rsidR="00DE2F4D" w:rsidRDefault="00DE2F4D" w:rsidP="00DE2F4D">
            <w:pPr>
              <w:pStyle w:val="Paragraphedeliste"/>
              <w:ind w:left="360"/>
              <w:jc w:val="both"/>
              <w:rPr>
                <w:rFonts w:ascii="Arial" w:hAnsi="Arial" w:cs="Arial"/>
                <w:iCs/>
              </w:rPr>
            </w:pPr>
            <w:r w:rsidRPr="00DE2F4D">
              <w:rPr>
                <w:rFonts w:ascii="Arial" w:hAnsi="Arial" w:cs="Arial"/>
                <w:iCs/>
              </w:rPr>
              <w:t>Comparez ensuite ces quantités, pour apporter une conclusion.</w:t>
            </w:r>
          </w:p>
          <w:p w14:paraId="7A9510D0" w14:textId="248D177C" w:rsidR="00DE2F4D" w:rsidRPr="001A2D53" w:rsidRDefault="00DE2F4D" w:rsidP="00DE2F4D">
            <w:pPr>
              <w:pStyle w:val="Paragraphedeliste"/>
              <w:ind w:left="36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Si vous avez des difficultés avec les puissances de 10, réécrivez les nombres en écriture décimale (</w:t>
            </w:r>
            <m:oMath>
              <m:r>
                <w:rPr>
                  <w:rFonts w:ascii="Cambria Math" w:hAnsi="Cambria Math" w:cs="Arial"/>
                </w:rPr>
                <m:t>0,14</m:t>
              </m:r>
              <m:r>
                <w:rPr>
                  <w:rFonts w:ascii="Cambria Math" w:hAnsi="Cambria Math" w:cs="Arial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mol</m:t>
              </m:r>
            </m:oMath>
            <w:r>
              <w:rPr>
                <w:rFonts w:ascii="Arial" w:eastAsiaTheme="minorEastAsia" w:hAnsi="Arial" w:cs="Arial"/>
                <w:iCs/>
              </w:rPr>
              <w:t xml:space="preserve"> et </w:t>
            </w:r>
            <m:oMath>
              <m:r>
                <w:rPr>
                  <w:rFonts w:ascii="Cambria Math" w:eastAsiaTheme="minorEastAsia" w:hAnsi="Cambria Math" w:cs="Arial"/>
                </w:rPr>
                <m:t>0,24</m:t>
              </m:r>
              <m:r>
                <w:rPr>
                  <w:rFonts w:ascii="Cambria Math" w:eastAsiaTheme="minorEastAsia" w:hAnsi="Cambria Math" w:cs="Arial"/>
                </w:rPr>
                <m:t> 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mol</m:t>
              </m:r>
            </m:oMath>
            <w:r>
              <w:rPr>
                <w:rFonts w:ascii="Arial" w:eastAsiaTheme="minorEastAsia" w:hAnsi="Arial" w:cs="Arial"/>
                <w:iCs/>
              </w:rPr>
              <w:t>).</w:t>
            </w:r>
          </w:p>
        </w:tc>
        <w:tc>
          <w:tcPr>
            <w:tcW w:w="3292" w:type="dxa"/>
          </w:tcPr>
          <w:p w14:paraId="40A8AB9C" w14:textId="62E94AE7" w:rsidR="00DE2F4D" w:rsidRPr="00643A2D" w:rsidRDefault="00DE2F4D" w:rsidP="001B18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Attention, le réactif dont la quantité initiale est la plus faible, n’est pas toujours le réactif limitant.</w:t>
            </w:r>
          </w:p>
        </w:tc>
      </w:tr>
      <w:tr w:rsidR="00DE2F4D" w:rsidRPr="00643A2D" w14:paraId="70DD642B" w14:textId="77777777" w:rsidTr="001B18AD">
        <w:tc>
          <w:tcPr>
            <w:tcW w:w="5920" w:type="dxa"/>
          </w:tcPr>
          <w:p w14:paraId="3B35017A" w14:textId="3730BABF" w:rsidR="00DE2F4D" w:rsidRPr="00DE2F4D" w:rsidRDefault="00DE2F4D" w:rsidP="001B18A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Il y a deux hypothèses : soit le réactif limitant est l’aluminium, soit c’est l’ion </w:t>
            </w: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</m:t>
                  </m:r>
                </m:sup>
              </m:sSup>
              <m:r>
                <w:rPr>
                  <w:rFonts w:ascii="Cambria Math" w:hAnsi="Cambria Math" w:cs="Arial"/>
                </w:rPr>
                <m:t>(aq)</m:t>
              </m:r>
            </m:oMath>
            <w:r>
              <w:rPr>
                <w:rFonts w:ascii="Arial" w:eastAsiaTheme="minorEastAsia" w:hAnsi="Arial" w:cs="Arial"/>
              </w:rPr>
              <w:t>. De quelle information dispose-t-on dans l’énoncé pour savoir quel réactif n’est pas complète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</w:rPr>
              <w:t>ment transformé à l’état final ?</w:t>
            </w:r>
          </w:p>
        </w:tc>
        <w:tc>
          <w:tcPr>
            <w:tcW w:w="3292" w:type="dxa"/>
          </w:tcPr>
          <w:p w14:paraId="7B867903" w14:textId="48C0894C" w:rsidR="00DE2F4D" w:rsidRDefault="00DE2F4D" w:rsidP="001B18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Rédigez des phrases avec des enchaînements logiques, en vous appuyant sur l’énoncé et vos connaissances.</w:t>
            </w:r>
          </w:p>
        </w:tc>
      </w:tr>
    </w:tbl>
    <w:p w14:paraId="3BCB9FC0" w14:textId="77777777" w:rsidR="002F498E" w:rsidRDefault="002F498E">
      <w:pPr>
        <w:rPr>
          <w:rFonts w:ascii="Arial" w:hAnsi="Arial" w:cs="Arial"/>
        </w:rPr>
      </w:pPr>
    </w:p>
    <w:p w14:paraId="2284F770" w14:textId="68E92661" w:rsidR="005C0B20" w:rsidRPr="005C0B20" w:rsidRDefault="005C0B20">
      <w:pPr>
        <w:rPr>
          <w:rFonts w:ascii="Arial" w:hAnsi="Arial" w:cs="Arial"/>
          <w:b/>
          <w:bCs/>
        </w:rPr>
      </w:pPr>
      <w:r w:rsidRPr="005C0B20">
        <w:rPr>
          <w:rFonts w:ascii="Arial" w:hAnsi="Arial" w:cs="Arial"/>
          <w:b/>
          <w:bCs/>
        </w:rPr>
        <w:t>Exercice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11"/>
        <w:gridCol w:w="3251"/>
      </w:tblGrid>
      <w:tr w:rsidR="00DE2F4D" w:rsidRPr="00643A2D" w14:paraId="26332A68" w14:textId="77777777" w:rsidTr="001B18AD">
        <w:tc>
          <w:tcPr>
            <w:tcW w:w="5920" w:type="dxa"/>
          </w:tcPr>
          <w:p w14:paraId="047B57C1" w14:textId="77777777" w:rsidR="00DE2F4D" w:rsidRPr="00643A2D" w:rsidRDefault="00DE2F4D" w:rsidP="001B18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Indications pour répondre à la question posée</w:t>
            </w:r>
          </w:p>
        </w:tc>
        <w:tc>
          <w:tcPr>
            <w:tcW w:w="3292" w:type="dxa"/>
          </w:tcPr>
          <w:p w14:paraId="0AE249BA" w14:textId="77777777" w:rsidR="00DE2F4D" w:rsidRPr="00643A2D" w:rsidRDefault="00DE2F4D" w:rsidP="001B18AD">
            <w:pPr>
              <w:jc w:val="center"/>
              <w:rPr>
                <w:rFonts w:ascii="Arial" w:hAnsi="Arial" w:cs="Arial"/>
                <w:b/>
                <w:bCs/>
              </w:rPr>
            </w:pPr>
            <w:r w:rsidRPr="00643A2D">
              <w:rPr>
                <w:rFonts w:ascii="Arial" w:hAnsi="Arial" w:cs="Arial"/>
                <w:b/>
                <w:bCs/>
              </w:rPr>
              <w:t>Commentaires</w:t>
            </w:r>
          </w:p>
        </w:tc>
      </w:tr>
      <w:tr w:rsidR="00DE2F4D" w:rsidRPr="00643A2D" w14:paraId="16C3B6CB" w14:textId="77777777" w:rsidTr="001B18AD">
        <w:tc>
          <w:tcPr>
            <w:tcW w:w="5920" w:type="dxa"/>
          </w:tcPr>
          <w:p w14:paraId="1EDBFAD0" w14:textId="77777777" w:rsidR="00DE2F4D" w:rsidRDefault="00DE2F4D" w:rsidP="001B18A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L’état initial décrit la composition du système chimique, avant que la transformation n’ait lieu.</w:t>
            </w:r>
          </w:p>
          <w:p w14:paraId="3C7EF0D0" w14:textId="77777777" w:rsidR="00DE2F4D" w:rsidRDefault="00DE2F4D" w:rsidP="001B18A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L’état final décrit le système chimique quand la transformation est achevée</w:t>
            </w:r>
            <w:r w:rsidR="00A52902">
              <w:rPr>
                <w:rFonts w:ascii="Arial" w:hAnsi="Arial" w:cs="Arial"/>
                <w:iCs/>
              </w:rPr>
              <w:t>. Autrement dit, l’état final est atteint quand un des réactifs est épuisé. C’est ce réactif qu’on appelle le réactif limitant.</w:t>
            </w:r>
          </w:p>
          <w:p w14:paraId="6454436C" w14:textId="77777777" w:rsidR="00A52902" w:rsidRDefault="00A52902" w:rsidP="001B18A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Quel réactif a entièrement disparu entre l’état initial et l’état final ?</w:t>
            </w:r>
          </w:p>
          <w:p w14:paraId="43720742" w14:textId="12CB042A" w:rsidR="00A52902" w:rsidRPr="00A52902" w:rsidRDefault="00A52902" w:rsidP="001B18A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Question de prolongement : </w:t>
            </w:r>
            <w:r>
              <w:rPr>
                <w:rFonts w:ascii="Arial" w:hAnsi="Arial" w:cs="Arial"/>
                <w:iCs/>
              </w:rPr>
              <w:t>identifiez le ou les produits de cette transformation chimiques, ainsi que la ou les espèces spectatrices, en justifiant vos réponses.</w:t>
            </w:r>
          </w:p>
        </w:tc>
        <w:tc>
          <w:tcPr>
            <w:tcW w:w="3292" w:type="dxa"/>
          </w:tcPr>
          <w:p w14:paraId="3190B02F" w14:textId="3E21F17C" w:rsidR="00DE2F4D" w:rsidRPr="00643A2D" w:rsidRDefault="00A52902" w:rsidP="001B18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faut bien connaître la définition du réactif limitant pour répondre à cette question.</w:t>
            </w:r>
          </w:p>
        </w:tc>
      </w:tr>
    </w:tbl>
    <w:p w14:paraId="613E8200" w14:textId="77777777" w:rsidR="005C0B20" w:rsidRPr="00643A2D" w:rsidRDefault="005C0B20">
      <w:pPr>
        <w:rPr>
          <w:rFonts w:ascii="Arial" w:hAnsi="Arial" w:cs="Arial"/>
        </w:rPr>
      </w:pPr>
    </w:p>
    <w:sectPr w:rsidR="005C0B20" w:rsidRPr="0064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520D"/>
    <w:multiLevelType w:val="hybridMultilevel"/>
    <w:tmpl w:val="45D08C4A"/>
    <w:lvl w:ilvl="0" w:tplc="859E9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131D4"/>
    <w:multiLevelType w:val="hybridMultilevel"/>
    <w:tmpl w:val="45D08C4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F2EE3"/>
    <w:multiLevelType w:val="hybridMultilevel"/>
    <w:tmpl w:val="9752C1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012EF"/>
    <w:multiLevelType w:val="hybridMultilevel"/>
    <w:tmpl w:val="8D5A4C62"/>
    <w:lvl w:ilvl="0" w:tplc="00C60BF8">
      <w:numFmt w:val="bullet"/>
      <w:lvlText w:val="q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56B9"/>
    <w:multiLevelType w:val="hybridMultilevel"/>
    <w:tmpl w:val="6B0E7F7A"/>
    <w:lvl w:ilvl="0" w:tplc="00C60BF8">
      <w:numFmt w:val="bullet"/>
      <w:lvlText w:val="q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25AD1"/>
    <w:multiLevelType w:val="hybridMultilevel"/>
    <w:tmpl w:val="9752C1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C43A5"/>
    <w:multiLevelType w:val="hybridMultilevel"/>
    <w:tmpl w:val="C82E2DAA"/>
    <w:lvl w:ilvl="0" w:tplc="5E8ECC2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453C55"/>
    <w:multiLevelType w:val="hybridMultilevel"/>
    <w:tmpl w:val="9C40B9B8"/>
    <w:lvl w:ilvl="0" w:tplc="859E9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925F69"/>
    <w:multiLevelType w:val="hybridMultilevel"/>
    <w:tmpl w:val="BD38C55E"/>
    <w:lvl w:ilvl="0" w:tplc="183CF4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D42B0"/>
    <w:multiLevelType w:val="hybridMultilevel"/>
    <w:tmpl w:val="708C4780"/>
    <w:lvl w:ilvl="0" w:tplc="859E9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3C6DF1"/>
    <w:multiLevelType w:val="hybridMultilevel"/>
    <w:tmpl w:val="9752C160"/>
    <w:lvl w:ilvl="0" w:tplc="859E9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75"/>
    <w:rsid w:val="001A2D53"/>
    <w:rsid w:val="001C2298"/>
    <w:rsid w:val="001E3080"/>
    <w:rsid w:val="00234585"/>
    <w:rsid w:val="002410CE"/>
    <w:rsid w:val="002F498E"/>
    <w:rsid w:val="00477166"/>
    <w:rsid w:val="004D065E"/>
    <w:rsid w:val="004D65B4"/>
    <w:rsid w:val="005B2DD4"/>
    <w:rsid w:val="005C0B20"/>
    <w:rsid w:val="00643A2D"/>
    <w:rsid w:val="006A0592"/>
    <w:rsid w:val="006D7E75"/>
    <w:rsid w:val="008E2C28"/>
    <w:rsid w:val="00957CC0"/>
    <w:rsid w:val="00993B03"/>
    <w:rsid w:val="00A52902"/>
    <w:rsid w:val="00A60FA4"/>
    <w:rsid w:val="00C70706"/>
    <w:rsid w:val="00D00A6D"/>
    <w:rsid w:val="00DE2F4D"/>
    <w:rsid w:val="00F3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C7E6"/>
  <w15:chartTrackingRefBased/>
  <w15:docId w15:val="{07803D72-C297-4C46-82EF-B21F5939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F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3A2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43A2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Pesenti</dc:creator>
  <cp:keywords/>
  <dc:description/>
  <cp:lastModifiedBy>Gilles Claudel</cp:lastModifiedBy>
  <cp:revision>3</cp:revision>
  <dcterms:created xsi:type="dcterms:W3CDTF">2024-06-08T15:25:00Z</dcterms:created>
  <dcterms:modified xsi:type="dcterms:W3CDTF">2024-06-13T13:10:00Z</dcterms:modified>
</cp:coreProperties>
</file>