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19"/>
        <w:gridCol w:w="4293"/>
        <w:gridCol w:w="4854"/>
      </w:tblGrid>
      <w:tr w:rsidR="00EA5641" w14:paraId="30D86971" w14:textId="77777777" w:rsidTr="00843B85">
        <w:trPr>
          <w:trHeight w:val="416"/>
        </w:trPr>
        <w:tc>
          <w:tcPr>
            <w:tcW w:w="630" w:type="pct"/>
          </w:tcPr>
          <w:p w14:paraId="3E206E72" w14:textId="77777777" w:rsidR="00EA5641" w:rsidRPr="00DC765B" w:rsidRDefault="00EA5641" w:rsidP="007B472A">
            <w:pPr>
              <w:tabs>
                <w:tab w:val="left" w:pos="9923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9B55C3C" wp14:editId="1DA0464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-69215</wp:posOffset>
                  </wp:positionV>
                  <wp:extent cx="428625" cy="42862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Sequences_201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1" w:type="pct"/>
          </w:tcPr>
          <w:p w14:paraId="7D39F0A4" w14:textId="2DBD2BCC" w:rsidR="00EA5641" w:rsidRPr="003A6597" w:rsidRDefault="00EA5641" w:rsidP="007B472A">
            <w:pPr>
              <w:tabs>
                <w:tab w:val="left" w:pos="9923"/>
              </w:tabs>
              <w:spacing w:after="0" w:line="240" w:lineRule="auto"/>
              <w:rPr>
                <w:b/>
                <w:i/>
                <w:color w:val="808080" w:themeColor="background1" w:themeShade="80"/>
                <w:szCs w:val="24"/>
              </w:rPr>
            </w:pPr>
            <w:r w:rsidRPr="003A6597">
              <w:rPr>
                <w:b/>
                <w:i/>
                <w:color w:val="808080" w:themeColor="background1" w:themeShade="80"/>
                <w:szCs w:val="24"/>
              </w:rPr>
              <w:t>1</w:t>
            </w:r>
            <w:r w:rsidRPr="003A6597">
              <w:rPr>
                <w:b/>
                <w:i/>
                <w:color w:val="808080" w:themeColor="background1" w:themeShade="80"/>
                <w:szCs w:val="24"/>
                <w:vertAlign w:val="superscript"/>
              </w:rPr>
              <w:t>ère</w:t>
            </w:r>
            <w:r w:rsidRPr="003A6597">
              <w:rPr>
                <w:b/>
                <w:i/>
                <w:color w:val="808080" w:themeColor="background1" w:themeShade="80"/>
                <w:szCs w:val="24"/>
              </w:rPr>
              <w:t xml:space="preserve"> STL – </w:t>
            </w:r>
            <w:r w:rsidR="001A4813">
              <w:rPr>
                <w:b/>
                <w:i/>
                <w:color w:val="808080" w:themeColor="background1" w:themeShade="80"/>
                <w:szCs w:val="24"/>
              </w:rPr>
              <w:t>Chimie et Développement Durable</w:t>
            </w:r>
          </w:p>
        </w:tc>
        <w:tc>
          <w:tcPr>
            <w:tcW w:w="2319" w:type="pct"/>
          </w:tcPr>
          <w:p w14:paraId="32D1ACA1" w14:textId="3F4D3683" w:rsidR="00EA5641" w:rsidRPr="003A6597" w:rsidRDefault="00EA5641" w:rsidP="007B472A">
            <w:pPr>
              <w:tabs>
                <w:tab w:val="left" w:pos="9923"/>
              </w:tabs>
              <w:spacing w:after="0" w:line="240" w:lineRule="auto"/>
              <w:jc w:val="right"/>
              <w:rPr>
                <w:b/>
                <w:i/>
                <w:color w:val="808080" w:themeColor="background1" w:themeShade="80"/>
                <w:szCs w:val="24"/>
              </w:rPr>
            </w:pPr>
            <w:r>
              <w:rPr>
                <w:b/>
                <w:i/>
                <w:color w:val="808080" w:themeColor="background1" w:themeShade="80"/>
                <w:szCs w:val="24"/>
              </w:rPr>
              <w:t>Cours</w:t>
            </w:r>
          </w:p>
        </w:tc>
      </w:tr>
    </w:tbl>
    <w:p w14:paraId="7951DC6E" w14:textId="17C2897D" w:rsidR="00EA5641" w:rsidRDefault="00820ACF" w:rsidP="007B472A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Dosage par titrage direct</w:t>
      </w:r>
    </w:p>
    <w:p w14:paraId="5E86192F" w14:textId="47E3CCB6" w:rsidR="000621D4" w:rsidRPr="000621D4" w:rsidRDefault="00820ACF" w:rsidP="000621D4">
      <w:pPr>
        <w:pStyle w:val="Titre1"/>
        <w:numPr>
          <w:ilvl w:val="0"/>
          <w:numId w:val="1"/>
        </w:numPr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Rappels sur la transformation chimique</w:t>
      </w:r>
    </w:p>
    <w:p w14:paraId="0C8DED03" w14:textId="683AC0A0" w:rsidR="000621D4" w:rsidRDefault="000621D4" w:rsidP="000621D4">
      <w:pPr>
        <w:spacing w:after="0" w:line="240" w:lineRule="auto"/>
        <w:rPr>
          <w:sz w:val="20"/>
          <w:szCs w:val="20"/>
        </w:rPr>
      </w:pPr>
    </w:p>
    <w:p w14:paraId="699C24A9" w14:textId="6C536850" w:rsidR="00D320FA" w:rsidRPr="000621D4" w:rsidRDefault="00D320FA" w:rsidP="00D320FA">
      <w:pPr>
        <w:pStyle w:val="Titre2"/>
        <w:spacing w:before="0" w:after="0"/>
        <w:ind w:left="567" w:hanging="567"/>
        <w:rPr>
          <w:sz w:val="22"/>
          <w:szCs w:val="24"/>
        </w:rPr>
      </w:pPr>
      <w:r>
        <w:rPr>
          <w:sz w:val="22"/>
          <w:szCs w:val="24"/>
        </w:rPr>
        <w:t>Réactifs et produits</w:t>
      </w:r>
    </w:p>
    <w:p w14:paraId="6AD08BC2" w14:textId="77777777" w:rsidR="00D320FA" w:rsidRPr="00D320FA" w:rsidRDefault="00D320FA" w:rsidP="00650283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D320FA">
        <w:rPr>
          <w:szCs w:val="20"/>
        </w:rPr>
        <w:t>Au cours d’une transformation chimique:</w:t>
      </w:r>
    </w:p>
    <w:p w14:paraId="5D8E9127" w14:textId="12DCE19B" w:rsidR="00D320FA" w:rsidRPr="00D320FA" w:rsidRDefault="00650283" w:rsidP="00650283">
      <w:pPr>
        <w:pStyle w:val="Aretenirtexte"/>
        <w:spacing w:before="0" w:after="0" w:line="240" w:lineRule="auto"/>
        <w:ind w:left="0" w:right="-24"/>
        <w:rPr>
          <w:szCs w:val="20"/>
        </w:rPr>
      </w:pPr>
      <w:r>
        <w:rPr>
          <w:szCs w:val="20"/>
        </w:rPr>
        <w:t xml:space="preserve"> - </w:t>
      </w:r>
      <w:r w:rsidR="00D320FA" w:rsidRPr="00D320FA">
        <w:rPr>
          <w:szCs w:val="20"/>
        </w:rPr>
        <w:t>des espèce chimiques</w:t>
      </w:r>
      <w:r>
        <w:rPr>
          <w:szCs w:val="20"/>
        </w:rPr>
        <w:t xml:space="preserve"> </w:t>
      </w:r>
      <w:r w:rsidRPr="00650283">
        <w:rPr>
          <w:b/>
          <w:bCs/>
          <w:color w:val="auto"/>
          <w:szCs w:val="20"/>
          <w:u w:val="single"/>
        </w:rPr>
        <w:t>disparaissent</w:t>
      </w:r>
      <w:r>
        <w:rPr>
          <w:szCs w:val="20"/>
        </w:rPr>
        <w:t> :</w:t>
      </w:r>
      <w:r w:rsidR="00D320FA" w:rsidRPr="00D320FA">
        <w:rPr>
          <w:szCs w:val="20"/>
        </w:rPr>
        <w:t xml:space="preserve"> ce sont </w:t>
      </w:r>
      <w:r>
        <w:rPr>
          <w:szCs w:val="20"/>
        </w:rPr>
        <w:t xml:space="preserve">les </w:t>
      </w:r>
      <w:r w:rsidRPr="00650283">
        <w:rPr>
          <w:b/>
          <w:bCs/>
          <w:color w:val="auto"/>
          <w:szCs w:val="20"/>
          <w:u w:val="single"/>
        </w:rPr>
        <w:t>réactifs</w:t>
      </w:r>
      <w:r w:rsidR="00D320FA" w:rsidRPr="00650283">
        <w:rPr>
          <w:szCs w:val="20"/>
        </w:rPr>
        <w:t xml:space="preserve"> : leur quantité de matière </w:t>
      </w:r>
      <w:r w:rsidR="00D320FA" w:rsidRPr="00147F46">
        <w:rPr>
          <w:b/>
          <w:bCs/>
          <w:color w:val="auto"/>
          <w:szCs w:val="20"/>
          <w:u w:val="single"/>
        </w:rPr>
        <w:t>diminue</w:t>
      </w:r>
      <w:r w:rsidR="00147F46" w:rsidRPr="00147F46">
        <w:rPr>
          <w:color w:val="auto"/>
          <w:szCs w:val="20"/>
        </w:rPr>
        <w:t> ;</w:t>
      </w:r>
    </w:p>
    <w:p w14:paraId="416372CA" w14:textId="3EC7C576" w:rsidR="00D320FA" w:rsidRPr="00D320FA" w:rsidRDefault="00650283" w:rsidP="00650283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650283">
        <w:rPr>
          <w:szCs w:val="20"/>
        </w:rPr>
        <w:t xml:space="preserve"> - </w:t>
      </w:r>
      <w:r w:rsidR="00D320FA" w:rsidRPr="00D320FA">
        <w:rPr>
          <w:szCs w:val="20"/>
        </w:rPr>
        <w:t>d’autres espèces chimiques</w:t>
      </w:r>
      <w:r>
        <w:rPr>
          <w:szCs w:val="20"/>
        </w:rPr>
        <w:t xml:space="preserve"> </w:t>
      </w:r>
      <w:r>
        <w:rPr>
          <w:b/>
          <w:bCs/>
          <w:color w:val="auto"/>
          <w:szCs w:val="20"/>
          <w:u w:val="single"/>
        </w:rPr>
        <w:t>app</w:t>
      </w:r>
      <w:r w:rsidRPr="00650283">
        <w:rPr>
          <w:b/>
          <w:bCs/>
          <w:color w:val="auto"/>
          <w:szCs w:val="20"/>
          <w:u w:val="single"/>
        </w:rPr>
        <w:t>araissen</w:t>
      </w:r>
      <w:r w:rsidR="00147F46">
        <w:rPr>
          <w:b/>
          <w:bCs/>
          <w:color w:val="auto"/>
          <w:szCs w:val="20"/>
          <w:u w:val="single"/>
        </w:rPr>
        <w:t>t</w:t>
      </w:r>
      <w:r w:rsidR="00147F46">
        <w:rPr>
          <w:szCs w:val="20"/>
        </w:rPr>
        <w:t> :</w:t>
      </w:r>
      <w:r w:rsidR="00D320FA" w:rsidRPr="00D320FA">
        <w:rPr>
          <w:szCs w:val="20"/>
        </w:rPr>
        <w:t xml:space="preserve"> ce sont </w:t>
      </w:r>
      <w:r w:rsidR="00147F46">
        <w:rPr>
          <w:szCs w:val="20"/>
        </w:rPr>
        <w:t xml:space="preserve">les </w:t>
      </w:r>
      <w:r w:rsidR="00147F46" w:rsidRPr="00147F46">
        <w:rPr>
          <w:b/>
          <w:bCs/>
          <w:color w:val="auto"/>
          <w:szCs w:val="20"/>
          <w:u w:val="single"/>
        </w:rPr>
        <w:t>produits</w:t>
      </w:r>
      <w:r w:rsidR="00147F46">
        <w:rPr>
          <w:szCs w:val="20"/>
        </w:rPr>
        <w:t> :</w:t>
      </w:r>
      <w:r w:rsidR="00D320FA" w:rsidRPr="00650283">
        <w:rPr>
          <w:szCs w:val="20"/>
        </w:rPr>
        <w:t xml:space="preserve"> leur quantité de matière </w:t>
      </w:r>
      <w:r w:rsidR="00D320FA" w:rsidRPr="00147F46">
        <w:rPr>
          <w:b/>
          <w:bCs/>
          <w:color w:val="auto"/>
          <w:szCs w:val="20"/>
          <w:u w:val="single"/>
        </w:rPr>
        <w:t>au</w:t>
      </w:r>
      <w:r w:rsidRPr="00147F46">
        <w:rPr>
          <w:b/>
          <w:bCs/>
          <w:color w:val="auto"/>
          <w:szCs w:val="20"/>
          <w:u w:val="single"/>
        </w:rPr>
        <w:t>g</w:t>
      </w:r>
      <w:r w:rsidR="00D320FA" w:rsidRPr="00147F46">
        <w:rPr>
          <w:b/>
          <w:bCs/>
          <w:color w:val="auto"/>
          <w:szCs w:val="20"/>
          <w:u w:val="single"/>
        </w:rPr>
        <w:t>mente</w:t>
      </w:r>
      <w:r w:rsidR="00147F46" w:rsidRPr="00147F46">
        <w:rPr>
          <w:color w:val="auto"/>
          <w:szCs w:val="20"/>
        </w:rPr>
        <w:t>.</w:t>
      </w:r>
    </w:p>
    <w:p w14:paraId="2F19D295" w14:textId="6EB59F7D" w:rsidR="00D320FA" w:rsidRPr="00D320FA" w:rsidRDefault="00D320FA" w:rsidP="00D320FA">
      <w:pPr>
        <w:spacing w:after="0" w:line="240" w:lineRule="auto"/>
        <w:rPr>
          <w:sz w:val="20"/>
          <w:szCs w:val="20"/>
        </w:rPr>
      </w:pPr>
      <w:r w:rsidRPr="00D320FA">
        <w:rPr>
          <w:b/>
          <w:bCs/>
          <w:sz w:val="20"/>
          <w:szCs w:val="20"/>
          <w:u w:val="single"/>
        </w:rPr>
        <w:t>Remarque</w:t>
      </w:r>
      <w:r w:rsidR="00147F46">
        <w:rPr>
          <w:b/>
          <w:bCs/>
          <w:sz w:val="20"/>
          <w:szCs w:val="20"/>
          <w:u w:val="single"/>
        </w:rPr>
        <w:t> :</w:t>
      </w:r>
    </w:p>
    <w:p w14:paraId="0CB05C2C" w14:textId="77777777" w:rsidR="00D320FA" w:rsidRPr="00D320FA" w:rsidRDefault="00D320FA" w:rsidP="00D320FA">
      <w:pPr>
        <w:spacing w:after="0" w:line="240" w:lineRule="auto"/>
        <w:rPr>
          <w:sz w:val="20"/>
          <w:szCs w:val="20"/>
        </w:rPr>
      </w:pPr>
      <w:r w:rsidRPr="00D320FA">
        <w:rPr>
          <w:sz w:val="20"/>
          <w:szCs w:val="20"/>
        </w:rPr>
        <w:t xml:space="preserve">Certaines espèces chimiques présentes </w:t>
      </w:r>
      <w:r w:rsidRPr="00D320FA">
        <w:rPr>
          <w:b/>
          <w:bCs/>
          <w:sz w:val="20"/>
          <w:szCs w:val="20"/>
          <w:u w:val="single"/>
        </w:rPr>
        <w:t>ne participent pas</w:t>
      </w:r>
      <w:r w:rsidRPr="00D320FA">
        <w:rPr>
          <w:sz w:val="20"/>
          <w:szCs w:val="20"/>
        </w:rPr>
        <w:t xml:space="preserve"> à la transformation chimique. On les appelle les </w:t>
      </w:r>
      <w:r w:rsidRPr="00D320FA">
        <w:rPr>
          <w:b/>
          <w:bCs/>
          <w:sz w:val="20"/>
          <w:szCs w:val="20"/>
          <w:u w:val="single"/>
        </w:rPr>
        <w:t>espèces spectatrices</w:t>
      </w:r>
      <w:r w:rsidRPr="00D320FA">
        <w:rPr>
          <w:sz w:val="20"/>
          <w:szCs w:val="20"/>
        </w:rPr>
        <w:t>.</w:t>
      </w:r>
    </w:p>
    <w:p w14:paraId="30FCB442" w14:textId="77777777" w:rsidR="00D320FA" w:rsidRDefault="00D320FA" w:rsidP="000621D4">
      <w:pPr>
        <w:spacing w:after="0" w:line="240" w:lineRule="auto"/>
        <w:rPr>
          <w:sz w:val="20"/>
          <w:szCs w:val="20"/>
        </w:rPr>
      </w:pPr>
    </w:p>
    <w:p w14:paraId="47FDE60E" w14:textId="09BF898B" w:rsidR="00D320FA" w:rsidRPr="000621D4" w:rsidRDefault="00D320FA" w:rsidP="00D320FA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0" w:name="_Hlk164087967"/>
      <w:r>
        <w:rPr>
          <w:sz w:val="22"/>
          <w:szCs w:val="24"/>
        </w:rPr>
        <w:t>Nombre stœchiométriques de l’équation</w:t>
      </w:r>
      <w:r w:rsidR="007F6896">
        <w:rPr>
          <w:sz w:val="22"/>
          <w:szCs w:val="24"/>
        </w:rPr>
        <w:t xml:space="preserve"> qui modélise la transformation chimique</w:t>
      </w:r>
      <w:bookmarkEnd w:id="0"/>
    </w:p>
    <w:p w14:paraId="0934C880" w14:textId="72477D98" w:rsidR="00650283" w:rsidRPr="00650283" w:rsidRDefault="00650283" w:rsidP="00147F46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650283">
        <w:rPr>
          <w:szCs w:val="20"/>
        </w:rPr>
        <w:t>L’</w:t>
      </w:r>
      <w:r w:rsidRPr="00650283">
        <w:rPr>
          <w:b/>
          <w:bCs/>
          <w:color w:val="auto"/>
          <w:szCs w:val="20"/>
          <w:u w:val="single"/>
        </w:rPr>
        <w:t>équation chimique</w:t>
      </w:r>
      <w:r w:rsidRPr="00650283">
        <w:rPr>
          <w:szCs w:val="20"/>
        </w:rPr>
        <w:t xml:space="preserve"> qui</w:t>
      </w:r>
      <w:r>
        <w:rPr>
          <w:szCs w:val="20"/>
        </w:rPr>
        <w:t xml:space="preserve"> modélise </w:t>
      </w:r>
      <w:r w:rsidRPr="00650283">
        <w:rPr>
          <w:szCs w:val="20"/>
        </w:rPr>
        <w:t xml:space="preserve">la </w:t>
      </w:r>
      <w:r w:rsidRPr="00147F46">
        <w:rPr>
          <w:b/>
          <w:bCs/>
          <w:color w:val="auto"/>
          <w:szCs w:val="20"/>
          <w:u w:val="single"/>
        </w:rPr>
        <w:t>transforma</w:t>
      </w:r>
      <w:r w:rsidRPr="00650283">
        <w:rPr>
          <w:b/>
          <w:bCs/>
          <w:color w:val="auto"/>
          <w:szCs w:val="20"/>
          <w:u w:val="single"/>
        </w:rPr>
        <w:t xml:space="preserve">tion </w:t>
      </w:r>
      <w:r w:rsidRPr="00147F46">
        <w:rPr>
          <w:b/>
          <w:bCs/>
          <w:color w:val="auto"/>
          <w:szCs w:val="20"/>
          <w:u w:val="single"/>
        </w:rPr>
        <w:t>chimique</w:t>
      </w:r>
      <w:r>
        <w:rPr>
          <w:szCs w:val="20"/>
        </w:rPr>
        <w:t xml:space="preserve"> </w:t>
      </w:r>
      <w:r w:rsidRPr="00650283">
        <w:rPr>
          <w:szCs w:val="20"/>
        </w:rPr>
        <w:t xml:space="preserve">doit être </w:t>
      </w:r>
      <w:r w:rsidRPr="00650283">
        <w:rPr>
          <w:b/>
          <w:bCs/>
          <w:color w:val="auto"/>
          <w:szCs w:val="20"/>
          <w:u w:val="single"/>
        </w:rPr>
        <w:t>ajustée</w:t>
      </w:r>
      <w:r w:rsidRPr="00650283">
        <w:rPr>
          <w:szCs w:val="20"/>
        </w:rPr>
        <w:t xml:space="preserve"> avec des </w:t>
      </w:r>
      <w:r w:rsidRPr="00650283">
        <w:rPr>
          <w:b/>
          <w:bCs/>
          <w:color w:val="auto"/>
          <w:szCs w:val="20"/>
          <w:u w:val="single"/>
        </w:rPr>
        <w:t>nombres stœchiométriques</w:t>
      </w:r>
      <w:r w:rsidRPr="00650283">
        <w:rPr>
          <w:szCs w:val="20"/>
        </w:rPr>
        <w:t xml:space="preserve"> qui donnent les </w:t>
      </w:r>
      <w:r w:rsidRPr="00650283">
        <w:rPr>
          <w:b/>
          <w:bCs/>
          <w:color w:val="auto"/>
          <w:szCs w:val="20"/>
          <w:u w:val="single"/>
        </w:rPr>
        <w:t>proportions</w:t>
      </w:r>
      <w:r w:rsidRPr="00650283">
        <w:rPr>
          <w:szCs w:val="20"/>
        </w:rPr>
        <w:t xml:space="preserve"> dans lesquelles les réactifs disparaissent et les produits apparaissent.</w:t>
      </w:r>
    </w:p>
    <w:p w14:paraId="20490141" w14:textId="7A0ECC93" w:rsidR="00D320FA" w:rsidRPr="00147F46" w:rsidRDefault="00147F46" w:rsidP="000621D4">
      <w:pPr>
        <w:spacing w:after="0" w:line="240" w:lineRule="auto"/>
        <w:rPr>
          <w:i/>
          <w:iCs/>
          <w:sz w:val="20"/>
          <w:szCs w:val="20"/>
        </w:rPr>
      </w:pPr>
      <w:r w:rsidRPr="00147F46">
        <w:rPr>
          <w:i/>
          <w:iCs/>
          <w:sz w:val="20"/>
          <w:szCs w:val="20"/>
        </w:rPr>
        <w:t>exemple :</w:t>
      </w:r>
      <w:r>
        <w:rPr>
          <w:i/>
          <w:i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 →C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+2 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O</m:t>
        </m:r>
      </m:oMath>
      <w:r>
        <w:rPr>
          <w:rFonts w:eastAsiaTheme="minorEastAsia"/>
          <w:b/>
          <w:bCs/>
          <w:i/>
          <w:iCs/>
          <w:sz w:val="20"/>
          <w:szCs w:val="20"/>
        </w:rPr>
        <w:t xml:space="preserve">               </w:t>
      </w:r>
      <w:r w:rsidRPr="00147F46">
        <w:rPr>
          <w:rFonts w:eastAsiaTheme="minorEastAsia"/>
          <w:i/>
          <w:iCs/>
          <w:sz w:val="20"/>
          <w:szCs w:val="20"/>
        </w:rPr>
        <w:t>Les nombres stœchiométriques valent 2 pour</w:t>
      </w:r>
      <w:r>
        <w:rPr>
          <w:rFonts w:eastAsiaTheme="minorEastAsia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147F46">
        <w:rPr>
          <w:rFonts w:eastAsiaTheme="minorEastAsia"/>
          <w:i/>
          <w:iCs/>
          <w:sz w:val="20"/>
          <w:szCs w:val="20"/>
        </w:rPr>
        <w:t xml:space="preserve"> et</w:t>
      </w:r>
      <w:r>
        <w:rPr>
          <w:rFonts w:eastAsiaTheme="minorEastAsia"/>
          <w:b/>
          <w:bCs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O</m:t>
        </m:r>
      </m:oMath>
      <w:r>
        <w:rPr>
          <w:rFonts w:eastAsiaTheme="minorEastAsia"/>
          <w:i/>
          <w:iCs/>
          <w:sz w:val="20"/>
          <w:szCs w:val="20"/>
        </w:rPr>
        <w:t xml:space="preserve"> et 1 pour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>
        <w:rPr>
          <w:rFonts w:eastAsiaTheme="minorEastAsia"/>
          <w:i/>
          <w:iCs/>
          <w:sz w:val="20"/>
          <w:szCs w:val="20"/>
        </w:rPr>
        <w:t xml:space="preserve"> et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147F46">
        <w:rPr>
          <w:rFonts w:eastAsiaTheme="minorEastAsia"/>
          <w:i/>
          <w:iCs/>
          <w:sz w:val="20"/>
          <w:szCs w:val="20"/>
        </w:rPr>
        <w:t>.</w:t>
      </w:r>
    </w:p>
    <w:p w14:paraId="45065A49" w14:textId="1FC28427" w:rsidR="00D320FA" w:rsidRDefault="00D320FA" w:rsidP="000621D4">
      <w:pPr>
        <w:spacing w:after="0" w:line="240" w:lineRule="auto"/>
        <w:rPr>
          <w:sz w:val="20"/>
          <w:szCs w:val="20"/>
        </w:rPr>
      </w:pPr>
    </w:p>
    <w:p w14:paraId="3C9721BD" w14:textId="17F1697B" w:rsidR="00D320FA" w:rsidRPr="000621D4" w:rsidRDefault="00D320FA" w:rsidP="00D320FA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1" w:name="_Hlk164088000"/>
      <w:r>
        <w:rPr>
          <w:sz w:val="22"/>
          <w:szCs w:val="24"/>
        </w:rPr>
        <w:t>Réactif limitant et proportions stœchiométriques</w:t>
      </w:r>
      <w:bookmarkEnd w:id="1"/>
    </w:p>
    <w:p w14:paraId="7FB042D4" w14:textId="3788E680" w:rsidR="00650283" w:rsidRPr="00650283" w:rsidRDefault="00650283" w:rsidP="00152C02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650283">
        <w:rPr>
          <w:szCs w:val="20"/>
        </w:rPr>
        <w:t xml:space="preserve">La transformation cesse lorsqu’au moins </w:t>
      </w:r>
      <w:r w:rsidRPr="00650283">
        <w:rPr>
          <w:b/>
          <w:bCs/>
          <w:color w:val="auto"/>
          <w:szCs w:val="20"/>
          <w:u w:val="single"/>
        </w:rPr>
        <w:t>un des réactifs</w:t>
      </w:r>
      <w:r w:rsidRPr="00650283">
        <w:rPr>
          <w:szCs w:val="20"/>
        </w:rPr>
        <w:t xml:space="preserve"> a été </w:t>
      </w:r>
      <w:r w:rsidRPr="00650283">
        <w:rPr>
          <w:b/>
          <w:bCs/>
          <w:color w:val="auto"/>
          <w:szCs w:val="20"/>
          <w:u w:val="single"/>
        </w:rPr>
        <w:t>totalement consommé</w:t>
      </w:r>
      <w:r w:rsidRPr="00650283">
        <w:rPr>
          <w:szCs w:val="20"/>
        </w:rPr>
        <w:t>, c’est le</w:t>
      </w:r>
      <w:r w:rsidR="00152C02">
        <w:rPr>
          <w:szCs w:val="20"/>
        </w:rPr>
        <w:t xml:space="preserve"> </w:t>
      </w:r>
      <w:r w:rsidRPr="00650283">
        <w:rPr>
          <w:b/>
          <w:bCs/>
          <w:color w:val="auto"/>
          <w:szCs w:val="20"/>
          <w:u w:val="single"/>
        </w:rPr>
        <w:t>réactif limitant</w:t>
      </w:r>
      <w:r w:rsidRPr="00650283">
        <w:rPr>
          <w:szCs w:val="20"/>
        </w:rPr>
        <w:t>.</w:t>
      </w:r>
    </w:p>
    <w:p w14:paraId="7B0C923C" w14:textId="77777777" w:rsidR="00152C02" w:rsidRDefault="00152C02" w:rsidP="00650283">
      <w:pPr>
        <w:spacing w:after="0" w:line="240" w:lineRule="auto"/>
        <w:rPr>
          <w:sz w:val="20"/>
          <w:szCs w:val="20"/>
        </w:rPr>
      </w:pPr>
    </w:p>
    <w:p w14:paraId="3EB1E4BB" w14:textId="06CBAC2B" w:rsidR="00650283" w:rsidRPr="00650283" w:rsidRDefault="00650283" w:rsidP="00650283">
      <w:pPr>
        <w:spacing w:after="0" w:line="240" w:lineRule="auto"/>
        <w:rPr>
          <w:sz w:val="20"/>
          <w:szCs w:val="20"/>
        </w:rPr>
      </w:pPr>
      <w:r w:rsidRPr="00650283">
        <w:rPr>
          <w:sz w:val="20"/>
          <w:szCs w:val="20"/>
        </w:rPr>
        <w:t xml:space="preserve">Pour déterminer le réactif limitant, il faut calculer le </w:t>
      </w:r>
      <w:r w:rsidRPr="00650283">
        <w:rPr>
          <w:b/>
          <w:bCs/>
          <w:sz w:val="20"/>
          <w:szCs w:val="20"/>
        </w:rPr>
        <w:t>rapport de la quantité de matière initiale sur le nombre stœchiométrique</w:t>
      </w:r>
      <w:r w:rsidRPr="00650283">
        <w:rPr>
          <w:sz w:val="20"/>
          <w:szCs w:val="20"/>
        </w:rPr>
        <w:t xml:space="preserve"> pour chacun des réactifs.</w:t>
      </w:r>
      <w:r w:rsidR="00152C02">
        <w:rPr>
          <w:sz w:val="20"/>
          <w:szCs w:val="20"/>
        </w:rPr>
        <w:t xml:space="preserve"> </w:t>
      </w:r>
      <w:r w:rsidRPr="00650283">
        <w:rPr>
          <w:sz w:val="20"/>
          <w:szCs w:val="20"/>
        </w:rPr>
        <w:t xml:space="preserve">Celui qui a la </w:t>
      </w:r>
      <w:r w:rsidRPr="00650283">
        <w:rPr>
          <w:b/>
          <w:bCs/>
          <w:sz w:val="20"/>
          <w:szCs w:val="20"/>
        </w:rPr>
        <w:t xml:space="preserve">plus petite valeur </w:t>
      </w:r>
      <w:r w:rsidRPr="00650283">
        <w:rPr>
          <w:sz w:val="20"/>
          <w:szCs w:val="20"/>
        </w:rPr>
        <w:t xml:space="preserve">est le </w:t>
      </w:r>
      <w:r w:rsidRPr="00650283">
        <w:rPr>
          <w:b/>
          <w:bCs/>
          <w:sz w:val="20"/>
          <w:szCs w:val="20"/>
        </w:rPr>
        <w:t>réactif limitant</w:t>
      </w:r>
      <w:r w:rsidRPr="00650283">
        <w:rPr>
          <w:sz w:val="20"/>
          <w:szCs w:val="20"/>
        </w:rPr>
        <w:t>.</w:t>
      </w:r>
    </w:p>
    <w:p w14:paraId="526B969B" w14:textId="77777777" w:rsidR="00152C02" w:rsidRDefault="00152C02" w:rsidP="00650283">
      <w:pPr>
        <w:spacing w:after="0" w:line="240" w:lineRule="auto"/>
        <w:rPr>
          <w:sz w:val="20"/>
          <w:szCs w:val="20"/>
        </w:rPr>
      </w:pPr>
    </w:p>
    <w:p w14:paraId="49A0AD8E" w14:textId="4E98AE82" w:rsidR="00650283" w:rsidRPr="00650283" w:rsidRDefault="00650283" w:rsidP="00650283">
      <w:pPr>
        <w:spacing w:after="0" w:line="240" w:lineRule="auto"/>
        <w:rPr>
          <w:sz w:val="20"/>
          <w:szCs w:val="20"/>
        </w:rPr>
      </w:pPr>
      <w:r w:rsidRPr="00650283">
        <w:rPr>
          <w:sz w:val="20"/>
          <w:szCs w:val="20"/>
        </w:rPr>
        <w:t xml:space="preserve">Exemple d’une équation du type: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 A+b B →c C+d D</m:t>
        </m:r>
      </m:oMath>
    </w:p>
    <w:p w14:paraId="07A08C6A" w14:textId="409F7F64" w:rsidR="00650283" w:rsidRPr="00650283" w:rsidRDefault="00650283" w:rsidP="00152C02">
      <w:pPr>
        <w:tabs>
          <w:tab w:val="left" w:pos="3261"/>
          <w:tab w:val="left" w:pos="4962"/>
          <w:tab w:val="left" w:pos="5103"/>
          <w:tab w:val="left" w:pos="7513"/>
        </w:tabs>
        <w:spacing w:after="0" w:line="240" w:lineRule="auto"/>
        <w:rPr>
          <w:sz w:val="20"/>
          <w:szCs w:val="20"/>
        </w:rPr>
      </w:pPr>
      <w:r w:rsidRPr="00650283">
        <w:rPr>
          <w:sz w:val="20"/>
          <w:szCs w:val="20"/>
        </w:rPr>
        <w:t xml:space="preserve">Si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initiale 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initiale 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152C02">
        <w:rPr>
          <w:sz w:val="20"/>
          <w:szCs w:val="20"/>
        </w:rPr>
        <w:tab/>
      </w:r>
      <w:r w:rsidRPr="00650283">
        <w:rPr>
          <w:sz w:val="20"/>
          <w:szCs w:val="20"/>
        </w:rPr>
        <w:t>alors</w:t>
      </w:r>
      <w:r w:rsidR="00152C02">
        <w:rPr>
          <w:sz w:val="20"/>
          <w:szCs w:val="20"/>
        </w:rPr>
        <w:tab/>
      </w:r>
      <w:r w:rsidRPr="00650283">
        <w:rPr>
          <w:sz w:val="20"/>
          <w:szCs w:val="20"/>
        </w:rPr>
        <w:t xml:space="preserve">A est le </w:t>
      </w:r>
      <w:r w:rsidRPr="00650283">
        <w:rPr>
          <w:b/>
          <w:bCs/>
          <w:sz w:val="20"/>
          <w:szCs w:val="20"/>
        </w:rPr>
        <w:t>réactif limitant</w:t>
      </w:r>
      <w:r w:rsidR="00152C02">
        <w:rPr>
          <w:b/>
          <w:bCs/>
          <w:sz w:val="20"/>
          <w:szCs w:val="20"/>
        </w:rPr>
        <w:t xml:space="preserve"> </w:t>
      </w:r>
      <w:r w:rsidR="00152C02">
        <w:rPr>
          <w:b/>
          <w:bCs/>
          <w:sz w:val="20"/>
          <w:szCs w:val="20"/>
        </w:rPr>
        <w:tab/>
      </w:r>
      <w:r w:rsidRPr="00650283">
        <w:rPr>
          <w:sz w:val="20"/>
          <w:szCs w:val="20"/>
        </w:rPr>
        <w:t xml:space="preserve">B est appelé </w:t>
      </w:r>
      <w:r w:rsidRPr="00650283">
        <w:rPr>
          <w:b/>
          <w:bCs/>
          <w:sz w:val="20"/>
          <w:szCs w:val="20"/>
        </w:rPr>
        <w:t>réactif en excès</w:t>
      </w:r>
    </w:p>
    <w:p w14:paraId="5EFAFD62" w14:textId="77777777" w:rsidR="00152C02" w:rsidRDefault="00152C02" w:rsidP="00650283">
      <w:pPr>
        <w:spacing w:after="0" w:line="240" w:lineRule="auto"/>
        <w:rPr>
          <w:sz w:val="20"/>
          <w:szCs w:val="20"/>
        </w:rPr>
      </w:pPr>
    </w:p>
    <w:p w14:paraId="35376DA4" w14:textId="33191BFB" w:rsidR="00650283" w:rsidRPr="00650283" w:rsidRDefault="00152C02" w:rsidP="00152C02">
      <w:pPr>
        <w:pStyle w:val="Aretenirtexte"/>
        <w:spacing w:before="0" w:after="0" w:line="240" w:lineRule="auto"/>
        <w:ind w:left="0" w:right="-24"/>
        <w:rPr>
          <w:szCs w:val="20"/>
        </w:rPr>
      </w:pPr>
      <w:r>
        <w:rPr>
          <w:szCs w:val="20"/>
        </w:rPr>
        <w:t>Lorsque</w:t>
      </w:r>
      <w:r w:rsidR="00650283" w:rsidRPr="00650283">
        <w:rPr>
          <w:szCs w:val="20"/>
        </w:rPr>
        <w:t xml:space="preserve"> </w:t>
      </w:r>
      <w:r w:rsidR="00650283" w:rsidRPr="00650283">
        <w:rPr>
          <w:b/>
          <w:bCs/>
          <w:color w:val="auto"/>
          <w:szCs w:val="20"/>
          <w:u w:val="single"/>
        </w:rPr>
        <w:t>tous les réactifs sont limitants</w:t>
      </w:r>
      <w:r w:rsidR="00650283" w:rsidRPr="00650283">
        <w:rPr>
          <w:szCs w:val="20"/>
        </w:rPr>
        <w:t xml:space="preserve">, on dit que les réactifs ont été introduits dans les </w:t>
      </w:r>
      <w:r w:rsidR="00650283" w:rsidRPr="00650283">
        <w:rPr>
          <w:b/>
          <w:bCs/>
          <w:color w:val="auto"/>
          <w:szCs w:val="20"/>
          <w:u w:val="single"/>
        </w:rPr>
        <w:t>proportions stœchiométriques</w:t>
      </w:r>
      <w:r w:rsidR="00650283" w:rsidRPr="00650283">
        <w:rPr>
          <w:szCs w:val="20"/>
        </w:rPr>
        <w:t>.</w:t>
      </w:r>
    </w:p>
    <w:p w14:paraId="77ECBE99" w14:textId="77777777" w:rsidR="00820ACF" w:rsidRDefault="00820ACF" w:rsidP="000621D4">
      <w:pPr>
        <w:spacing w:after="0" w:line="240" w:lineRule="auto"/>
        <w:rPr>
          <w:sz w:val="20"/>
          <w:szCs w:val="20"/>
        </w:rPr>
      </w:pPr>
    </w:p>
    <w:p w14:paraId="11BB101B" w14:textId="02E85D05" w:rsidR="000621D4" w:rsidRPr="000621D4" w:rsidRDefault="00820ACF" w:rsidP="000621D4">
      <w:pPr>
        <w:pStyle w:val="Titre1"/>
        <w:numPr>
          <w:ilvl w:val="0"/>
          <w:numId w:val="1"/>
        </w:numPr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Titrage d’une espèce chimique</w:t>
      </w:r>
    </w:p>
    <w:p w14:paraId="506592A8" w14:textId="63545550" w:rsidR="000621D4" w:rsidRPr="000621D4" w:rsidRDefault="00820ACF" w:rsidP="00EC36F0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2" w:name="_Hlk164088048"/>
      <w:r>
        <w:rPr>
          <w:sz w:val="22"/>
          <w:szCs w:val="24"/>
        </w:rPr>
        <w:t>Titrage et transformation chimique</w:t>
      </w:r>
      <w:bookmarkEnd w:id="2"/>
    </w:p>
    <w:p w14:paraId="6D0EB9F0" w14:textId="15D9EAB2" w:rsidR="00F54E8B" w:rsidRPr="00F54E8B" w:rsidRDefault="00F54E8B" w:rsidP="00F54E8B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F54E8B">
        <w:rPr>
          <w:szCs w:val="20"/>
        </w:rPr>
        <w:t xml:space="preserve">Le </w:t>
      </w:r>
      <w:r w:rsidRPr="00F54E8B">
        <w:rPr>
          <w:b/>
          <w:bCs/>
          <w:color w:val="auto"/>
          <w:szCs w:val="20"/>
          <w:u w:val="single"/>
        </w:rPr>
        <w:t>titrage d'une solution</w:t>
      </w:r>
      <w:r w:rsidRPr="00F54E8B">
        <w:rPr>
          <w:color w:val="auto"/>
          <w:szCs w:val="20"/>
        </w:rPr>
        <w:t xml:space="preserve"> </w:t>
      </w:r>
      <w:r w:rsidRPr="00F54E8B">
        <w:rPr>
          <w:szCs w:val="20"/>
        </w:rPr>
        <w:t xml:space="preserve">permet de déterminer la </w:t>
      </w:r>
      <w:r>
        <w:rPr>
          <w:szCs w:val="20"/>
        </w:rPr>
        <w:t>quantité de matière</w:t>
      </w:r>
      <w:r w:rsidRPr="00F54E8B">
        <w:rPr>
          <w:szCs w:val="20"/>
        </w:rPr>
        <w:t xml:space="preserve"> d’une espèce chimique grâce à</w:t>
      </w:r>
      <w:r w:rsidRPr="00F54E8B">
        <w:rPr>
          <w:b/>
          <w:bCs/>
          <w:szCs w:val="20"/>
          <w:u w:val="single"/>
        </w:rPr>
        <w:t xml:space="preserve"> </w:t>
      </w:r>
      <w:r w:rsidRPr="00F54E8B">
        <w:rPr>
          <w:b/>
          <w:bCs/>
          <w:color w:val="auto"/>
          <w:szCs w:val="20"/>
          <w:u w:val="single"/>
        </w:rPr>
        <w:t>une transformation chimique totale et rapide</w:t>
      </w:r>
      <w:r w:rsidRPr="00F54E8B">
        <w:rPr>
          <w:szCs w:val="20"/>
        </w:rPr>
        <w:t>.</w:t>
      </w:r>
    </w:p>
    <w:p w14:paraId="7C59FCB2" w14:textId="789F5588" w:rsidR="00820ACF" w:rsidRPr="000621D4" w:rsidRDefault="00820ACF" w:rsidP="00820ACF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820ACF">
        <w:rPr>
          <w:szCs w:val="20"/>
        </w:rPr>
        <w:t>On fait réagir l’espèce chimique dont on souhaite déterminer la quantité de matière</w:t>
      </w:r>
      <w:r w:rsidR="00DF3E11">
        <w:rPr>
          <w:szCs w:val="20"/>
        </w:rPr>
        <w:t xml:space="preserve"> inconnue</w:t>
      </w:r>
      <w:r w:rsidRPr="00820ACF">
        <w:rPr>
          <w:szCs w:val="20"/>
        </w:rPr>
        <w:t xml:space="preserve"> (</w:t>
      </w:r>
      <w:r w:rsidRPr="00820ACF">
        <w:rPr>
          <w:b/>
          <w:bCs/>
          <w:color w:val="auto"/>
          <w:szCs w:val="20"/>
          <w:u w:val="single"/>
        </w:rPr>
        <w:t>espèce titrée</w:t>
      </w:r>
      <w:r w:rsidRPr="00820ACF">
        <w:rPr>
          <w:szCs w:val="20"/>
        </w:rPr>
        <w:t>) avec une autre espèce chimique dont la concentration est connue (</w:t>
      </w:r>
      <w:r w:rsidRPr="00820ACF">
        <w:rPr>
          <w:b/>
          <w:bCs/>
          <w:color w:val="auto"/>
          <w:szCs w:val="20"/>
          <w:u w:val="single"/>
        </w:rPr>
        <w:t>espèce titrante</w:t>
      </w:r>
      <w:r w:rsidRPr="00820ACF">
        <w:rPr>
          <w:szCs w:val="20"/>
        </w:rPr>
        <w:t>).</w:t>
      </w:r>
    </w:p>
    <w:p w14:paraId="2FCA83E7" w14:textId="5BDA9F9F" w:rsidR="000621D4" w:rsidRPr="000621D4" w:rsidRDefault="000621D4" w:rsidP="000621D4">
      <w:pPr>
        <w:spacing w:after="0" w:line="240" w:lineRule="auto"/>
        <w:jc w:val="both"/>
        <w:rPr>
          <w:sz w:val="20"/>
          <w:szCs w:val="20"/>
        </w:rPr>
      </w:pPr>
    </w:p>
    <w:p w14:paraId="102A72CE" w14:textId="4461072E" w:rsidR="00E601CD" w:rsidRPr="000621D4" w:rsidRDefault="002B6D4A" w:rsidP="002B6D4A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5AA2" wp14:editId="21043321">
                <wp:simplePos x="0" y="0"/>
                <wp:positionH relativeFrom="margin">
                  <wp:posOffset>4019550</wp:posOffset>
                </wp:positionH>
                <wp:positionV relativeFrom="paragraph">
                  <wp:posOffset>977900</wp:posOffset>
                </wp:positionV>
                <wp:extent cx="2809875" cy="12477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9B4A7" w14:textId="04E3D88C" w:rsidR="002B6D4A" w:rsidRPr="002B6D4A" w:rsidRDefault="002B6D4A" w:rsidP="002B6D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6D4A">
                              <w:rPr>
                                <w:sz w:val="20"/>
                                <w:szCs w:val="20"/>
                              </w:rPr>
                              <w:t xml:space="preserve">Au départ, on </w:t>
                            </w:r>
                            <w:r w:rsidR="0036188F">
                              <w:rPr>
                                <w:sz w:val="20"/>
                                <w:szCs w:val="20"/>
                              </w:rPr>
                              <w:t>prélève un</w:t>
                            </w:r>
                            <w:r w:rsidRPr="002B6D4A">
                              <w:rPr>
                                <w:sz w:val="20"/>
                                <w:szCs w:val="20"/>
                              </w:rPr>
                              <w:t xml:space="preserve"> volume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oMath>
                            <w:r w:rsidRPr="002B6D4A">
                              <w:rPr>
                                <w:sz w:val="20"/>
                                <w:szCs w:val="20"/>
                              </w:rPr>
                              <w:t xml:space="preserve"> de solution tirée </w:t>
                            </w:r>
                            <w:r w:rsidR="0036188F">
                              <w:rPr>
                                <w:sz w:val="20"/>
                                <w:szCs w:val="20"/>
                              </w:rPr>
                              <w:t xml:space="preserve">que l’on verse </w:t>
                            </w:r>
                            <w:r w:rsidRPr="002B6D4A">
                              <w:rPr>
                                <w:sz w:val="20"/>
                                <w:szCs w:val="20"/>
                              </w:rPr>
                              <w:t>dans l’erlenmeyer.</w:t>
                            </w:r>
                          </w:p>
                          <w:p w14:paraId="288E650C" w14:textId="362FE784" w:rsidR="002B6D4A" w:rsidRPr="002B6D4A" w:rsidRDefault="002B6D4A" w:rsidP="002B6D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6D4A">
                              <w:rPr>
                                <w:sz w:val="20"/>
                                <w:szCs w:val="20"/>
                              </w:rPr>
                              <w:t xml:space="preserve">A l’équivalence on lit sur la burette le volume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éq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6D4A">
                              <w:rPr>
                                <w:sz w:val="20"/>
                                <w:szCs w:val="20"/>
                              </w:rPr>
                              <w:t xml:space="preserve"> de solution tit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rante qui a été versé.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D5A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6.5pt;margin-top:77pt;width:221.25pt;height:98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" fillcolor="white [3201]" stroked="f" strokeweight=".5pt">
                <v:textbox>
                  <w:txbxContent>
                    <w:p w14:paraId="3749B4A7" w14:textId="04E3D88C" w:rsidR="002B6D4A" w:rsidRPr="002B6D4A" w:rsidRDefault="002B6D4A" w:rsidP="002B6D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B6D4A">
                        <w:rPr>
                          <w:sz w:val="20"/>
                          <w:szCs w:val="20"/>
                        </w:rPr>
                        <w:t xml:space="preserve">Au départ, on </w:t>
                      </w:r>
                      <w:r w:rsidR="0036188F">
                        <w:rPr>
                          <w:sz w:val="20"/>
                          <w:szCs w:val="20"/>
                        </w:rPr>
                        <w:t>prélève un</w:t>
                      </w:r>
                      <w:r w:rsidRPr="002B6D4A">
                        <w:rPr>
                          <w:sz w:val="20"/>
                          <w:szCs w:val="20"/>
                        </w:rPr>
                        <w:t xml:space="preserve"> volume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b>
                        </m:sSub>
                      </m:oMath>
                      <w:r w:rsidRPr="002B6D4A">
                        <w:rPr>
                          <w:sz w:val="20"/>
                          <w:szCs w:val="20"/>
                        </w:rPr>
                        <w:t xml:space="preserve"> de solution tirée </w:t>
                      </w:r>
                      <w:r w:rsidR="0036188F">
                        <w:rPr>
                          <w:sz w:val="20"/>
                          <w:szCs w:val="20"/>
                        </w:rPr>
                        <w:t xml:space="preserve">que l’on verse </w:t>
                      </w:r>
                      <w:r w:rsidRPr="002B6D4A">
                        <w:rPr>
                          <w:sz w:val="20"/>
                          <w:szCs w:val="20"/>
                        </w:rPr>
                        <w:t>dans l’erlenmeyer.</w:t>
                      </w:r>
                    </w:p>
                    <w:p w14:paraId="288E650C" w14:textId="362FE784" w:rsidR="002B6D4A" w:rsidRPr="002B6D4A" w:rsidRDefault="002B6D4A" w:rsidP="002B6D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B6D4A">
                        <w:rPr>
                          <w:sz w:val="20"/>
                          <w:szCs w:val="20"/>
                        </w:rPr>
                        <w:t xml:space="preserve">A l’équivalence on lit sur la burette le volume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éq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B6D4A">
                        <w:rPr>
                          <w:sz w:val="20"/>
                          <w:szCs w:val="20"/>
                        </w:rPr>
                        <w:t xml:space="preserve"> de solution tit</w:t>
                      </w:r>
                      <w:r>
                        <w:rPr>
                          <w:sz w:val="20"/>
                          <w:szCs w:val="20"/>
                        </w:rPr>
                        <w:t>rante qui a été versé.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ACF">
        <w:rPr>
          <w:noProof/>
        </w:rPr>
        <w:drawing>
          <wp:inline distT="0" distB="0" distL="0" distR="0" wp14:anchorId="72245CB6" wp14:editId="039B4294">
            <wp:extent cx="3843181" cy="29718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318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2DBF" w14:textId="0C306EB2" w:rsidR="00E601CD" w:rsidRPr="00E601CD" w:rsidRDefault="00E601CD" w:rsidP="00E601CD">
      <w:pPr>
        <w:spacing w:after="0" w:line="240" w:lineRule="auto"/>
        <w:jc w:val="both"/>
        <w:rPr>
          <w:sz w:val="20"/>
          <w:szCs w:val="20"/>
        </w:rPr>
      </w:pPr>
    </w:p>
    <w:p w14:paraId="374C6432" w14:textId="1EE48288" w:rsidR="00E601CD" w:rsidRPr="00E601CD" w:rsidRDefault="00820ACF" w:rsidP="00EC36F0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3" w:name="_Hlk164088066"/>
      <w:r>
        <w:rPr>
          <w:sz w:val="22"/>
          <w:szCs w:val="24"/>
        </w:rPr>
        <w:lastRenderedPageBreak/>
        <w:t>Equivalence du titrage</w:t>
      </w:r>
      <w:bookmarkEnd w:id="3"/>
    </w:p>
    <w:p w14:paraId="11A85041" w14:textId="2BD5D462" w:rsidR="00F54E8B" w:rsidRDefault="00F54E8B" w:rsidP="00F54E8B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F54E8B">
        <w:rPr>
          <w:szCs w:val="20"/>
        </w:rPr>
        <w:t>A l’</w:t>
      </w:r>
      <w:r w:rsidRPr="00F54E8B">
        <w:rPr>
          <w:b/>
          <w:bCs/>
          <w:color w:val="auto"/>
          <w:szCs w:val="20"/>
          <w:u w:val="single"/>
        </w:rPr>
        <w:t>équivalence du titrage</w:t>
      </w:r>
      <w:r w:rsidRPr="00F54E8B">
        <w:rPr>
          <w:szCs w:val="20"/>
        </w:rPr>
        <w:t>, l’espèce chimique à titrer et l’espèce chimique titrante ont été introduit</w:t>
      </w:r>
      <w:r>
        <w:rPr>
          <w:szCs w:val="20"/>
        </w:rPr>
        <w:t>e</w:t>
      </w:r>
      <w:r w:rsidRPr="00F54E8B">
        <w:rPr>
          <w:szCs w:val="20"/>
        </w:rPr>
        <w:t xml:space="preserve">s </w:t>
      </w:r>
      <w:r>
        <w:rPr>
          <w:szCs w:val="20"/>
        </w:rPr>
        <w:t xml:space="preserve">dans les </w:t>
      </w:r>
      <w:r w:rsidRPr="00F54E8B">
        <w:rPr>
          <w:b/>
          <w:bCs/>
          <w:color w:val="auto"/>
          <w:szCs w:val="20"/>
          <w:u w:val="single"/>
        </w:rPr>
        <w:t>proportions stœchiométriques</w:t>
      </w:r>
      <w:r w:rsidRPr="00F54E8B">
        <w:rPr>
          <w:szCs w:val="20"/>
        </w:rPr>
        <w:t>.</w:t>
      </w:r>
    </w:p>
    <w:p w14:paraId="444D6F7F" w14:textId="77777777" w:rsidR="00F54E8B" w:rsidRDefault="00F54E8B" w:rsidP="00E601CD">
      <w:pPr>
        <w:spacing w:after="0" w:line="240" w:lineRule="auto"/>
        <w:jc w:val="both"/>
        <w:rPr>
          <w:sz w:val="20"/>
          <w:szCs w:val="20"/>
        </w:rPr>
      </w:pPr>
    </w:p>
    <w:p w14:paraId="6D900CCA" w14:textId="708BF546" w:rsidR="00F54E8B" w:rsidRDefault="00F54E8B" w:rsidP="00E601CD">
      <w:pPr>
        <w:spacing w:after="0" w:line="240" w:lineRule="auto"/>
        <w:jc w:val="both"/>
        <w:rPr>
          <w:sz w:val="20"/>
          <w:szCs w:val="20"/>
        </w:rPr>
      </w:pPr>
      <w:r w:rsidRPr="00F54E8B">
        <w:rPr>
          <w:sz w:val="20"/>
          <w:szCs w:val="20"/>
        </w:rPr>
        <w:t>A l’équivalence du titrage, ces deux espèces chimiques sont complètement consommées</w:t>
      </w:r>
      <w:r>
        <w:rPr>
          <w:sz w:val="20"/>
          <w:szCs w:val="20"/>
        </w:rPr>
        <w:t>.</w:t>
      </w:r>
    </w:p>
    <w:p w14:paraId="38DB0B91" w14:textId="023465B3" w:rsidR="00F54E8B" w:rsidRDefault="00F54E8B" w:rsidP="00E601CD">
      <w:pPr>
        <w:spacing w:after="0" w:line="240" w:lineRule="auto"/>
        <w:jc w:val="both"/>
        <w:rPr>
          <w:sz w:val="20"/>
          <w:szCs w:val="20"/>
        </w:rPr>
      </w:pPr>
    </w:p>
    <w:p w14:paraId="1C253541" w14:textId="38F24E12" w:rsidR="00F54E8B" w:rsidRPr="00E601CD" w:rsidRDefault="00F54E8B" w:rsidP="00F54E8B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4" w:name="_Hlk164088073"/>
      <w:r>
        <w:rPr>
          <w:sz w:val="22"/>
          <w:szCs w:val="24"/>
        </w:rPr>
        <w:t>Incertitudes liées au titrage</w:t>
      </w:r>
      <w:bookmarkEnd w:id="4"/>
    </w:p>
    <w:p w14:paraId="43A33F08" w14:textId="7F506357" w:rsidR="00F54E8B" w:rsidRDefault="00F54E8B" w:rsidP="00F54E8B">
      <w:pPr>
        <w:spacing w:after="0" w:line="240" w:lineRule="auto"/>
        <w:jc w:val="both"/>
        <w:rPr>
          <w:sz w:val="20"/>
          <w:szCs w:val="20"/>
        </w:rPr>
      </w:pPr>
      <w:r w:rsidRPr="00F54E8B">
        <w:rPr>
          <w:sz w:val="20"/>
          <w:szCs w:val="20"/>
        </w:rPr>
        <w:t xml:space="preserve">Un titrage doit être réalisé avec la plus grande rigueur possible. Plusieurs </w:t>
      </w:r>
      <w:r w:rsidRPr="00DF3E11">
        <w:rPr>
          <w:b/>
          <w:bCs/>
          <w:sz w:val="20"/>
          <w:szCs w:val="20"/>
          <w:u w:val="single"/>
        </w:rPr>
        <w:t>sources d’erreurs</w:t>
      </w:r>
      <w:r w:rsidRPr="00F54E8B">
        <w:rPr>
          <w:sz w:val="20"/>
          <w:szCs w:val="20"/>
        </w:rPr>
        <w:t xml:space="preserve"> peuvent impliquer plusieurs types d’</w:t>
      </w:r>
      <w:r w:rsidRPr="00DF3E11">
        <w:rPr>
          <w:b/>
          <w:bCs/>
          <w:sz w:val="20"/>
          <w:szCs w:val="20"/>
          <w:u w:val="single"/>
        </w:rPr>
        <w:t>incertitudes</w:t>
      </w:r>
      <w:r w:rsidR="002B6D4A">
        <w:rPr>
          <w:sz w:val="20"/>
          <w:szCs w:val="20"/>
        </w:rPr>
        <w:t> :</w:t>
      </w:r>
    </w:p>
    <w:p w14:paraId="2936877B" w14:textId="7038B307" w:rsidR="00F54E8B" w:rsidRPr="00F54E8B" w:rsidRDefault="00F54E8B" w:rsidP="00F54E8B">
      <w:pPr>
        <w:pStyle w:val="Paragraphedeliste"/>
        <w:numPr>
          <w:ilvl w:val="0"/>
          <w:numId w:val="46"/>
        </w:numPr>
        <w:spacing w:line="240" w:lineRule="auto"/>
        <w:rPr>
          <w:szCs w:val="20"/>
        </w:rPr>
      </w:pPr>
      <w:r w:rsidRPr="00F54E8B">
        <w:rPr>
          <w:szCs w:val="20"/>
        </w:rPr>
        <w:t>Incertitudes liées à la manipulation</w:t>
      </w:r>
      <w:r>
        <w:rPr>
          <w:szCs w:val="20"/>
        </w:rPr>
        <w:t> :</w:t>
      </w:r>
      <w:r w:rsidRPr="00F54E8B">
        <w:rPr>
          <w:szCs w:val="20"/>
        </w:rPr>
        <w:t xml:space="preserve"> mauvais ajustement des niveaux de liquide pour la burette graduée et la pipette jaugée, mauvaise lecture du volume équivalent sur la burette graduée.</w:t>
      </w:r>
    </w:p>
    <w:p w14:paraId="6C565F24" w14:textId="3797A310" w:rsidR="00F54E8B" w:rsidRPr="00F54E8B" w:rsidRDefault="00F54E8B" w:rsidP="00F54E8B">
      <w:pPr>
        <w:pStyle w:val="Paragraphedeliste"/>
        <w:numPr>
          <w:ilvl w:val="0"/>
          <w:numId w:val="46"/>
        </w:numPr>
        <w:spacing w:line="240" w:lineRule="auto"/>
        <w:rPr>
          <w:szCs w:val="20"/>
        </w:rPr>
      </w:pPr>
      <w:r w:rsidRPr="00F54E8B">
        <w:rPr>
          <w:szCs w:val="20"/>
        </w:rPr>
        <w:t>Incertitudes liées au type de titrage utilisé</w:t>
      </w:r>
      <w:r>
        <w:rPr>
          <w:szCs w:val="20"/>
        </w:rPr>
        <w:t> :</w:t>
      </w:r>
      <w:r w:rsidRPr="00F54E8B">
        <w:rPr>
          <w:szCs w:val="20"/>
        </w:rPr>
        <w:t xml:space="preserve"> mauvaises perceptions du changement de couleur à l’équivalence, imprécision sur la valeur de la concentration de la solution titrante utilisée.</w:t>
      </w:r>
    </w:p>
    <w:p w14:paraId="017A6775" w14:textId="29633F57" w:rsidR="00F54E8B" w:rsidRDefault="00F54E8B" w:rsidP="00F54E8B">
      <w:pPr>
        <w:pStyle w:val="Paragraphedeliste"/>
        <w:numPr>
          <w:ilvl w:val="0"/>
          <w:numId w:val="46"/>
        </w:numPr>
        <w:spacing w:line="240" w:lineRule="auto"/>
        <w:rPr>
          <w:szCs w:val="20"/>
        </w:rPr>
      </w:pPr>
      <w:r w:rsidRPr="00F54E8B">
        <w:rPr>
          <w:szCs w:val="20"/>
        </w:rPr>
        <w:t>Incertitudes liées à la verrerie utilisée</w:t>
      </w:r>
      <w:r>
        <w:rPr>
          <w:szCs w:val="20"/>
        </w:rPr>
        <w:t> :</w:t>
      </w:r>
      <w:r w:rsidRPr="00F54E8B">
        <w:rPr>
          <w:szCs w:val="20"/>
        </w:rPr>
        <w:t xml:space="preserve"> tolérances différentes suivant le type de verrerie utilisée</w:t>
      </w:r>
    </w:p>
    <w:p w14:paraId="0D8D7565" w14:textId="0D586D32" w:rsidR="00F54E8B" w:rsidRPr="00F54E8B" w:rsidRDefault="00F54E8B" w:rsidP="00F54E8B">
      <w:pPr>
        <w:pStyle w:val="Paragraphedeliste"/>
        <w:spacing w:line="240" w:lineRule="auto"/>
        <w:rPr>
          <w:szCs w:val="20"/>
        </w:rPr>
      </w:pPr>
      <w:r>
        <w:rPr>
          <w:szCs w:val="20"/>
        </w:rPr>
        <w:t>Exemple</w:t>
      </w:r>
      <w:r w:rsidR="002B6D4A">
        <w:rPr>
          <w:szCs w:val="20"/>
        </w:rPr>
        <w:t>s :</w:t>
      </w:r>
      <w:r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u(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0"/>
          </w:rPr>
          <m:t>)</m:t>
        </m:r>
      </m:oMath>
      <w:r>
        <w:rPr>
          <w:szCs w:val="20"/>
        </w:rPr>
        <w:t xml:space="preserve"> est inscrite sur la pipette utilisée,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u(V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Cs w:val="20"/>
          </w:rPr>
          <m:t>)</m:t>
        </m:r>
      </m:oMath>
      <w:r>
        <w:rPr>
          <w:szCs w:val="20"/>
        </w:rPr>
        <w:t xml:space="preserve"> est indiquée sur la burette graduée</w:t>
      </w:r>
    </w:p>
    <w:p w14:paraId="2F2E3E9F" w14:textId="3BAA2A39" w:rsidR="00F54E8B" w:rsidRDefault="00F54E8B" w:rsidP="00F54E8B">
      <w:pPr>
        <w:spacing w:after="0" w:line="240" w:lineRule="auto"/>
        <w:jc w:val="both"/>
        <w:rPr>
          <w:sz w:val="20"/>
          <w:szCs w:val="20"/>
        </w:rPr>
      </w:pPr>
    </w:p>
    <w:p w14:paraId="58CB34FF" w14:textId="38742BFF" w:rsidR="00E601CD" w:rsidRPr="00EC36F0" w:rsidRDefault="00820ACF" w:rsidP="00EC36F0">
      <w:pPr>
        <w:pStyle w:val="Titre1"/>
        <w:numPr>
          <w:ilvl w:val="0"/>
          <w:numId w:val="1"/>
        </w:numPr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Titrage direct</w:t>
      </w:r>
    </w:p>
    <w:p w14:paraId="06BCF335" w14:textId="5B1430A7" w:rsidR="00E601CD" w:rsidRPr="00EC36F0" w:rsidRDefault="00820ACF" w:rsidP="00EC36F0">
      <w:pPr>
        <w:pStyle w:val="Titre2"/>
        <w:spacing w:before="0" w:after="0"/>
        <w:ind w:left="567" w:hanging="567"/>
        <w:rPr>
          <w:sz w:val="22"/>
          <w:szCs w:val="24"/>
        </w:rPr>
      </w:pPr>
      <w:r>
        <w:rPr>
          <w:sz w:val="22"/>
          <w:szCs w:val="24"/>
        </w:rPr>
        <w:t>Définition</w:t>
      </w:r>
    </w:p>
    <w:p w14:paraId="7444237A" w14:textId="77777777" w:rsidR="00A41C35" w:rsidRDefault="00A41C35" w:rsidP="00A41C35">
      <w:pPr>
        <w:spacing w:after="0" w:line="240" w:lineRule="auto"/>
        <w:jc w:val="both"/>
        <w:rPr>
          <w:sz w:val="20"/>
          <w:szCs w:val="20"/>
        </w:rPr>
      </w:pPr>
      <w:r w:rsidRPr="00A41C35">
        <w:rPr>
          <w:sz w:val="20"/>
          <w:szCs w:val="20"/>
        </w:rPr>
        <w:t xml:space="preserve">Un </w:t>
      </w:r>
      <w:r w:rsidRPr="00A41C35">
        <w:rPr>
          <w:b/>
          <w:bCs/>
          <w:sz w:val="20"/>
          <w:szCs w:val="20"/>
          <w:u w:val="single"/>
        </w:rPr>
        <w:t>titrage direct</w:t>
      </w:r>
      <w:r w:rsidRPr="00A41C35">
        <w:rPr>
          <w:sz w:val="20"/>
          <w:szCs w:val="20"/>
        </w:rPr>
        <w:t xml:space="preserve"> ne nécessite qu’</w:t>
      </w:r>
      <w:r w:rsidRPr="00A41C35">
        <w:rPr>
          <w:b/>
          <w:bCs/>
          <w:sz w:val="20"/>
          <w:szCs w:val="20"/>
          <w:u w:val="single"/>
        </w:rPr>
        <w:t>une seule transformation chimique</w:t>
      </w:r>
      <w:r w:rsidRPr="00A41C35">
        <w:rPr>
          <w:sz w:val="20"/>
          <w:szCs w:val="20"/>
        </w:rPr>
        <w:t xml:space="preserve"> pour déterminer la concentration de l’espèce chimique dosée.</w:t>
      </w:r>
    </w:p>
    <w:p w14:paraId="71968343" w14:textId="6E6A19E3" w:rsidR="00EC36F0" w:rsidRDefault="00A41C35" w:rsidP="00650283">
      <w:pPr>
        <w:spacing w:after="0" w:line="240" w:lineRule="auto"/>
        <w:jc w:val="both"/>
        <w:rPr>
          <w:rFonts w:eastAsiaTheme="minorEastAsia"/>
          <w:b/>
          <w:bCs/>
          <w:iCs/>
        </w:rPr>
      </w:pPr>
      <w:r w:rsidRPr="00A41C35">
        <w:rPr>
          <w:sz w:val="20"/>
          <w:szCs w:val="20"/>
        </w:rPr>
        <w:t xml:space="preserve">Considérons la </w:t>
      </w:r>
      <w:r w:rsidRPr="00D320FA">
        <w:rPr>
          <w:b/>
          <w:bCs/>
          <w:sz w:val="20"/>
          <w:szCs w:val="20"/>
          <w:u w:val="single"/>
        </w:rPr>
        <w:t>réaction chimique support de titrage</w:t>
      </w:r>
      <w:r w:rsidRPr="00A41C35">
        <w:rPr>
          <w:sz w:val="20"/>
          <w:szCs w:val="20"/>
        </w:rPr>
        <w:t xml:space="preserve"> suivante</w:t>
      </w:r>
      <w:r>
        <w:rPr>
          <w:sz w:val="20"/>
          <w:szCs w:val="20"/>
        </w:rPr>
        <w:t> :</w:t>
      </w:r>
      <w:r w:rsidR="00650283">
        <w:rPr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</w:rPr>
          <m:t>a A+b B →c C+d D</m:t>
        </m:r>
      </m:oMath>
    </w:p>
    <w:p w14:paraId="776FFA7E" w14:textId="77777777" w:rsidR="00650283" w:rsidRPr="00650283" w:rsidRDefault="00650283" w:rsidP="00650283">
      <w:pPr>
        <w:spacing w:after="0" w:line="240" w:lineRule="auto"/>
        <w:jc w:val="both"/>
        <w:rPr>
          <w:sz w:val="20"/>
          <w:szCs w:val="20"/>
        </w:rPr>
      </w:pPr>
    </w:p>
    <w:p w14:paraId="129A91F2" w14:textId="5028899F" w:rsidR="00E601CD" w:rsidRPr="00EC36F0" w:rsidRDefault="00820ACF" w:rsidP="00EC36F0">
      <w:pPr>
        <w:pStyle w:val="Titre2"/>
        <w:spacing w:before="0" w:after="0"/>
        <w:ind w:left="567" w:hanging="567"/>
        <w:rPr>
          <w:sz w:val="22"/>
          <w:szCs w:val="24"/>
        </w:rPr>
      </w:pPr>
      <w:r>
        <w:rPr>
          <w:sz w:val="22"/>
          <w:szCs w:val="24"/>
        </w:rPr>
        <w:t>Relation</w:t>
      </w:r>
      <w:r w:rsidR="00D320FA">
        <w:rPr>
          <w:sz w:val="22"/>
          <w:szCs w:val="24"/>
        </w:rPr>
        <w:t>s</w:t>
      </w:r>
      <w:r>
        <w:rPr>
          <w:sz w:val="22"/>
          <w:szCs w:val="24"/>
        </w:rPr>
        <w:t xml:space="preserve"> à l’équivalence</w:t>
      </w:r>
    </w:p>
    <w:p w14:paraId="54A41902" w14:textId="5EE3B397" w:rsidR="00D320FA" w:rsidRDefault="00D320FA" w:rsidP="002B6D4A">
      <w:pPr>
        <w:pStyle w:val="Enumration"/>
        <w:numPr>
          <w:ilvl w:val="0"/>
          <w:numId w:val="0"/>
        </w:numPr>
        <w:rPr>
          <w:szCs w:val="20"/>
        </w:rPr>
      </w:pPr>
      <w:r w:rsidRPr="00A41C35">
        <w:rPr>
          <w:szCs w:val="20"/>
        </w:rPr>
        <w:t>A l’</w:t>
      </w:r>
      <w:r w:rsidRPr="00A41C35">
        <w:rPr>
          <w:b/>
          <w:bCs/>
          <w:szCs w:val="20"/>
          <w:u w:val="single"/>
        </w:rPr>
        <w:t>équivalence</w:t>
      </w:r>
      <w:r w:rsidRPr="00A41C35">
        <w:rPr>
          <w:szCs w:val="20"/>
        </w:rPr>
        <w:t xml:space="preserve">, </w:t>
      </w:r>
      <w:r>
        <w:rPr>
          <w:szCs w:val="20"/>
        </w:rPr>
        <w:t xml:space="preserve">lorsque les réactifs ont été introduits dans les </w:t>
      </w:r>
      <w:r w:rsidRPr="00A41C35">
        <w:rPr>
          <w:b/>
          <w:bCs/>
          <w:szCs w:val="20"/>
          <w:u w:val="single"/>
        </w:rPr>
        <w:t>proportions stœchiométriques</w:t>
      </w:r>
      <w:r>
        <w:rPr>
          <w:szCs w:val="20"/>
        </w:rPr>
        <w:t xml:space="preserve">, </w:t>
      </w:r>
      <w:r w:rsidRPr="00A41C35">
        <w:rPr>
          <w:szCs w:val="20"/>
        </w:rPr>
        <w:t>on obtient la relation suivante</w:t>
      </w:r>
      <w:r>
        <w:rPr>
          <w:szCs w:val="20"/>
        </w:rPr>
        <w:t> :</w:t>
      </w:r>
    </w:p>
    <w:p w14:paraId="2840F42A" w14:textId="365FD850" w:rsidR="00D320FA" w:rsidRPr="00650283" w:rsidRDefault="00000000" w:rsidP="00650283">
      <w:pPr>
        <w:pStyle w:val="Aretenirtexte"/>
        <w:pBdr>
          <w:top w:val="none" w:sz="0" w:space="0" w:color="auto"/>
          <w:bottom w:val="none" w:sz="0" w:space="0" w:color="auto"/>
        </w:pBdr>
        <w:spacing w:before="0" w:after="0" w:line="360" w:lineRule="auto"/>
        <w:ind w:left="0" w:right="-24"/>
        <w:rPr>
          <w:rFonts w:ascii="Cambria Math" w:hAnsi="Cambria Math"/>
          <w:b/>
          <w:bCs/>
          <w:color w:val="auto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p titré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éq titrant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b</m:t>
              </m:r>
            </m:den>
          </m:f>
        </m:oMath>
      </m:oMathPara>
    </w:p>
    <w:p w14:paraId="2E1F4286" w14:textId="14325ECD" w:rsidR="00A41C35" w:rsidRDefault="00A41C35" w:rsidP="00650283">
      <w:pPr>
        <w:pStyle w:val="Enumration"/>
        <w:numPr>
          <w:ilvl w:val="0"/>
          <w:numId w:val="0"/>
        </w:numPr>
        <w:spacing w:line="240" w:lineRule="auto"/>
        <w:rPr>
          <w:szCs w:val="20"/>
        </w:rPr>
      </w:pPr>
      <w:r w:rsidRPr="00A41C35">
        <w:rPr>
          <w:szCs w:val="20"/>
        </w:rPr>
        <w:t xml:space="preserve">avec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p</m:t>
            </m:r>
          </m:sub>
        </m:sSub>
      </m:oMath>
      <w:r w:rsidRPr="00A41C35">
        <w:rPr>
          <w:szCs w:val="20"/>
        </w:rPr>
        <w:t xml:space="preserve"> la quantité de matière d</w:t>
      </w:r>
      <w:r w:rsidR="00D4168C">
        <w:rPr>
          <w:szCs w:val="20"/>
        </w:rPr>
        <w:t>e réactif</w:t>
      </w:r>
      <w:r w:rsidR="00846E2D">
        <w:rPr>
          <w:szCs w:val="20"/>
        </w:rPr>
        <w:t xml:space="preserve"> dans le prélèvement</w:t>
      </w:r>
      <w:r w:rsidRPr="00A41C35">
        <w:rPr>
          <w:szCs w:val="20"/>
        </w:rPr>
        <w:t xml:space="preserve"> titré et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éq</m:t>
            </m:r>
          </m:sub>
        </m:sSub>
      </m:oMath>
      <w:r w:rsidRPr="00A41C35">
        <w:rPr>
          <w:szCs w:val="20"/>
        </w:rPr>
        <w:t xml:space="preserve"> la quantité de matière </w:t>
      </w:r>
      <w:r w:rsidR="00D4168C">
        <w:rPr>
          <w:szCs w:val="20"/>
        </w:rPr>
        <w:t>de réactif</w:t>
      </w:r>
      <w:r w:rsidRPr="00A41C35">
        <w:rPr>
          <w:szCs w:val="20"/>
        </w:rPr>
        <w:t xml:space="preserve"> titrant versée à l’équivalence </w:t>
      </w:r>
    </w:p>
    <w:p w14:paraId="0708346B" w14:textId="60CF9FAC" w:rsidR="00A41C35" w:rsidRDefault="00A41C35" w:rsidP="00650283">
      <w:pPr>
        <w:pStyle w:val="Enumration"/>
        <w:numPr>
          <w:ilvl w:val="0"/>
          <w:numId w:val="0"/>
        </w:numPr>
        <w:spacing w:line="240" w:lineRule="auto"/>
        <w:rPr>
          <w:szCs w:val="20"/>
        </w:rPr>
      </w:pPr>
    </w:p>
    <w:p w14:paraId="182D692C" w14:textId="4AAA865A" w:rsidR="00A41C35" w:rsidRDefault="00A41C35" w:rsidP="002B6D4A">
      <w:pPr>
        <w:pStyle w:val="Enumration"/>
        <w:numPr>
          <w:ilvl w:val="0"/>
          <w:numId w:val="0"/>
        </w:numPr>
        <w:rPr>
          <w:szCs w:val="20"/>
        </w:rPr>
      </w:pPr>
      <w:r>
        <w:rPr>
          <w:szCs w:val="20"/>
        </w:rPr>
        <w:t>Lorsque les espèces chimiques sont dissoutes en solution, cette relation devient :</w:t>
      </w:r>
    </w:p>
    <w:p w14:paraId="1E1F58C0" w14:textId="4BDE64A4" w:rsidR="00A41C35" w:rsidRPr="00D320FA" w:rsidRDefault="00000000" w:rsidP="00650283">
      <w:pPr>
        <w:pStyle w:val="Aretenirtexte"/>
        <w:pBdr>
          <w:top w:val="none" w:sz="0" w:space="0" w:color="auto"/>
          <w:bottom w:val="none" w:sz="0" w:space="0" w:color="auto"/>
        </w:pBdr>
        <w:spacing w:before="0" w:after="0" w:line="360" w:lineRule="auto"/>
        <w:ind w:left="0" w:right="-24"/>
        <w:rPr>
          <w:rFonts w:ascii="Cambria Math" w:hAnsi="Cambria Math"/>
          <w:b/>
          <w:bCs/>
          <w:color w:val="auto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titré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titrant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éq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b</m:t>
              </m:r>
            </m:den>
          </m:f>
        </m:oMath>
      </m:oMathPara>
    </w:p>
    <w:p w14:paraId="0E48AE9B" w14:textId="5FCD8DDE" w:rsidR="00650283" w:rsidRDefault="00A41C35" w:rsidP="00650283">
      <w:pPr>
        <w:pStyle w:val="Enumration"/>
        <w:numPr>
          <w:ilvl w:val="0"/>
          <w:numId w:val="0"/>
        </w:numPr>
        <w:spacing w:line="240" w:lineRule="auto"/>
        <w:rPr>
          <w:szCs w:val="20"/>
        </w:rPr>
      </w:pPr>
      <w:r w:rsidRPr="00A41C35">
        <w:rPr>
          <w:szCs w:val="20"/>
        </w:rPr>
        <w:t xml:space="preserve">avec </w:t>
      </w:r>
      <m:oMath>
        <m:sSub>
          <m:sSubPr>
            <m:ctrlPr>
              <w:rPr>
                <w:rFonts w:ascii="Cambria Math" w:hAnsi="Cambria Math"/>
                <w:b/>
                <w:bCs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titré</m:t>
            </m:r>
          </m:sub>
        </m:sSub>
      </m:oMath>
      <w:r w:rsidRPr="00A41C35">
        <w:rPr>
          <w:szCs w:val="20"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bCs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titrant</m:t>
            </m:r>
          </m:sub>
        </m:sSub>
      </m:oMath>
      <w:r w:rsidRPr="00A41C35">
        <w:rPr>
          <w:szCs w:val="20"/>
        </w:rPr>
        <w:t xml:space="preserve"> les concentrations molaires d</w:t>
      </w:r>
      <w:r w:rsidR="00650283">
        <w:rPr>
          <w:szCs w:val="20"/>
        </w:rPr>
        <w:t xml:space="preserve">es </w:t>
      </w:r>
      <w:r w:rsidR="00D4168C">
        <w:rPr>
          <w:szCs w:val="20"/>
        </w:rPr>
        <w:t>réactifs</w:t>
      </w:r>
      <w:r w:rsidRPr="00A41C35">
        <w:rPr>
          <w:szCs w:val="20"/>
        </w:rPr>
        <w:t xml:space="preserve"> titré et titrant,</w:t>
      </w:r>
    </w:p>
    <w:p w14:paraId="31D1544F" w14:textId="000395D0" w:rsidR="00260F6C" w:rsidRDefault="00000000" w:rsidP="00650283">
      <w:pPr>
        <w:pStyle w:val="Enumration"/>
        <w:numPr>
          <w:ilvl w:val="0"/>
          <w:numId w:val="0"/>
        </w:numPr>
        <w:spacing w:line="240" w:lineRule="auto"/>
        <w:ind w:left="426"/>
        <w:rPr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p</m:t>
            </m:r>
          </m:sub>
        </m:sSub>
      </m:oMath>
      <w:r w:rsidR="00D320FA">
        <w:rPr>
          <w:rFonts w:eastAsiaTheme="minorEastAsia"/>
          <w:b/>
          <w:bCs/>
          <w:sz w:val="24"/>
          <w:szCs w:val="24"/>
        </w:rPr>
        <w:t xml:space="preserve"> </w:t>
      </w:r>
      <w:r w:rsidR="00D320FA" w:rsidRPr="00D320FA">
        <w:rPr>
          <w:szCs w:val="20"/>
        </w:rPr>
        <w:t>le volume d</w:t>
      </w:r>
      <w:r w:rsidR="00D4168C">
        <w:rPr>
          <w:szCs w:val="20"/>
        </w:rPr>
        <w:t>e réactif t</w:t>
      </w:r>
      <w:r w:rsidR="00D320FA" w:rsidRPr="00D320FA">
        <w:rPr>
          <w:szCs w:val="20"/>
        </w:rPr>
        <w:t>itré initialement prélevé</w:t>
      </w:r>
      <w:r w:rsidR="00D320FA">
        <w:rPr>
          <w:rFonts w:eastAsiaTheme="minorEastAsia"/>
          <w:b/>
          <w:bCs/>
          <w:sz w:val="24"/>
          <w:szCs w:val="24"/>
        </w:rPr>
        <w:t xml:space="preserve"> </w:t>
      </w:r>
      <w:r w:rsidR="00A41C35" w:rsidRPr="00A41C35">
        <w:rPr>
          <w:szCs w:val="20"/>
        </w:rPr>
        <w:t xml:space="preserve">et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éq</m:t>
            </m:r>
          </m:sub>
        </m:sSub>
      </m:oMath>
      <w:r w:rsidR="00A41C35" w:rsidRPr="00A41C35">
        <w:rPr>
          <w:szCs w:val="20"/>
        </w:rPr>
        <w:t xml:space="preserve"> le  volume d</w:t>
      </w:r>
      <w:r w:rsidR="00D4168C">
        <w:rPr>
          <w:szCs w:val="20"/>
        </w:rPr>
        <w:t>e réactif titrant</w:t>
      </w:r>
      <w:r w:rsidR="00A41C35" w:rsidRPr="00A41C35">
        <w:rPr>
          <w:szCs w:val="20"/>
        </w:rPr>
        <w:t xml:space="preserve"> versé à l’équivalence.</w:t>
      </w:r>
    </w:p>
    <w:p w14:paraId="0656F2AE" w14:textId="77777777" w:rsidR="00E31319" w:rsidRDefault="00E31319" w:rsidP="00650283">
      <w:pPr>
        <w:pStyle w:val="Enumration"/>
        <w:numPr>
          <w:ilvl w:val="0"/>
          <w:numId w:val="0"/>
        </w:numPr>
        <w:spacing w:line="240" w:lineRule="auto"/>
        <w:ind w:left="426"/>
        <w:rPr>
          <w:szCs w:val="20"/>
        </w:rPr>
      </w:pPr>
    </w:p>
    <w:p w14:paraId="177E08EB" w14:textId="3979B2BC" w:rsidR="00E31319" w:rsidRPr="00EC36F0" w:rsidRDefault="00E31319" w:rsidP="00E31319">
      <w:pPr>
        <w:pStyle w:val="Titre2"/>
        <w:spacing w:before="0" w:after="0"/>
        <w:ind w:left="567" w:hanging="567"/>
        <w:rPr>
          <w:sz w:val="22"/>
          <w:szCs w:val="24"/>
        </w:rPr>
      </w:pPr>
      <w:bookmarkStart w:id="5" w:name="_Hlk164088175"/>
      <w:r>
        <w:rPr>
          <w:sz w:val="22"/>
          <w:szCs w:val="24"/>
        </w:rPr>
        <w:t>Détermination de la concentration de la solution titrée</w:t>
      </w:r>
      <w:bookmarkEnd w:id="5"/>
    </w:p>
    <w:p w14:paraId="5928CC8D" w14:textId="180A519E" w:rsidR="00E31319" w:rsidRPr="00E31319" w:rsidRDefault="00E31319" w:rsidP="00E31319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0E31319">
        <w:rPr>
          <w:sz w:val="20"/>
          <w:szCs w:val="20"/>
        </w:rPr>
        <w:t>La connaissance de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titrant</m:t>
            </m:r>
          </m:sub>
        </m:sSub>
      </m:oMath>
      <w:r w:rsidRPr="00E31319">
        <w:rPr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éq</m:t>
            </m:r>
          </m:sub>
        </m:sSub>
      </m:oMath>
      <w:r w:rsidRPr="00E31319">
        <w:rPr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 w:rsidRPr="00E31319">
        <w:rPr>
          <w:rFonts w:eastAsiaTheme="minorEastAsia"/>
          <w:b/>
          <w:bCs/>
          <w:sz w:val="20"/>
          <w:szCs w:val="20"/>
        </w:rPr>
        <w:t xml:space="preserve"> </w:t>
      </w:r>
      <w:r w:rsidRPr="00E31319">
        <w:rPr>
          <w:rFonts w:eastAsiaTheme="minorEastAsia"/>
          <w:sz w:val="20"/>
          <w:szCs w:val="20"/>
        </w:rPr>
        <w:t xml:space="preserve">permet alors de calculer la concentration inconnue </w:t>
      </w:r>
      <m:oMath>
        <m:sSub>
          <m:sSubPr>
            <m:ctrlPr>
              <w:rPr>
                <w:rFonts w:ascii="Cambria Math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titré</m:t>
            </m:r>
          </m:sub>
        </m:sSub>
      </m:oMath>
      <w:r w:rsidR="00D4168C">
        <w:rPr>
          <w:rFonts w:eastAsiaTheme="minorEastAsia"/>
          <w:b/>
          <w:bCs/>
          <w:sz w:val="20"/>
          <w:szCs w:val="20"/>
        </w:rPr>
        <w:t xml:space="preserve"> </w:t>
      </w:r>
      <w:r w:rsidRPr="00E31319">
        <w:rPr>
          <w:rFonts w:eastAsiaTheme="minorEastAsia"/>
          <w:sz w:val="20"/>
          <w:szCs w:val="20"/>
        </w:rPr>
        <w:t xml:space="preserve">ou la quantité de matière de </w:t>
      </w:r>
      <w:r w:rsidR="00D4168C">
        <w:rPr>
          <w:rFonts w:eastAsiaTheme="minorEastAsia"/>
          <w:sz w:val="20"/>
          <w:szCs w:val="20"/>
        </w:rPr>
        <w:t xml:space="preserve">réactif </w:t>
      </w:r>
      <w:r w:rsidRPr="00E31319">
        <w:rPr>
          <w:rFonts w:eastAsiaTheme="minorEastAsia"/>
          <w:sz w:val="20"/>
          <w:szCs w:val="20"/>
        </w:rPr>
        <w:t>titré</w:t>
      </w:r>
      <w:r w:rsidRPr="00E31319">
        <w:rPr>
          <w:rFonts w:eastAsiaTheme="minorEastAsia"/>
          <w:b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m:rPr>
            <m:sty m:val="b"/>
          </m:rPr>
          <w:rPr>
            <w:rFonts w:ascii="Cambria Math" w:hAnsi="Cambria Math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)</m:t>
        </m:r>
      </m:oMath>
      <w:r w:rsidRPr="00E31319">
        <w:rPr>
          <w:rFonts w:eastAsiaTheme="minorEastAsia"/>
          <w:sz w:val="20"/>
          <w:szCs w:val="20"/>
        </w:rPr>
        <w:t xml:space="preserve"> initialement présente dans l’erlenmeyer.</w:t>
      </w:r>
    </w:p>
    <w:p w14:paraId="03175D5A" w14:textId="77777777" w:rsidR="00E31319" w:rsidRPr="00E31319" w:rsidRDefault="00E31319" w:rsidP="00E31319">
      <w:pPr>
        <w:spacing w:after="0" w:line="240" w:lineRule="auto"/>
        <w:jc w:val="both"/>
        <w:rPr>
          <w:sz w:val="20"/>
          <w:szCs w:val="20"/>
        </w:rPr>
      </w:pPr>
    </w:p>
    <w:p w14:paraId="25CC52FD" w14:textId="52C469B3" w:rsidR="00D73DAD" w:rsidRPr="00260F6C" w:rsidRDefault="00820ACF" w:rsidP="002D6B5A">
      <w:pPr>
        <w:pStyle w:val="Titre1"/>
        <w:numPr>
          <w:ilvl w:val="0"/>
          <w:numId w:val="1"/>
        </w:numPr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Cas particulier du titrage acidobasique</w:t>
      </w:r>
    </w:p>
    <w:p w14:paraId="2EBD2684" w14:textId="77777777" w:rsidR="00A41C35" w:rsidRDefault="00A41C35" w:rsidP="002D6B5A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61CC96AC" w14:textId="77777777" w:rsidR="00D320FA" w:rsidRDefault="00A41C35" w:rsidP="00D320FA">
      <w:pPr>
        <w:pStyle w:val="Aretenirtexte"/>
        <w:spacing w:before="0" w:after="0" w:line="240" w:lineRule="auto"/>
        <w:ind w:left="0" w:right="-24"/>
        <w:rPr>
          <w:szCs w:val="20"/>
        </w:rPr>
      </w:pPr>
      <w:r w:rsidRPr="00A41C35">
        <w:rPr>
          <w:szCs w:val="20"/>
        </w:rPr>
        <w:t xml:space="preserve">Lors d’un </w:t>
      </w:r>
      <w:r w:rsidRPr="00D320FA">
        <w:rPr>
          <w:b/>
          <w:bCs/>
          <w:color w:val="auto"/>
          <w:szCs w:val="20"/>
          <w:u w:val="single"/>
        </w:rPr>
        <w:t>titrage acido-basique</w:t>
      </w:r>
      <w:r w:rsidRPr="00A41C35">
        <w:rPr>
          <w:szCs w:val="20"/>
        </w:rPr>
        <w:t xml:space="preserve">, la réaction support du titrage est une transformation chimique au cours de laquelle </w:t>
      </w:r>
      <w:r w:rsidRPr="00D320FA">
        <w:rPr>
          <w:b/>
          <w:bCs/>
          <w:color w:val="auto"/>
          <w:szCs w:val="20"/>
          <w:u w:val="single"/>
        </w:rPr>
        <w:t>l’acide</w:t>
      </w:r>
      <w:r w:rsidRPr="00DF3E11">
        <w:rPr>
          <w:b/>
          <w:bCs/>
          <w:color w:val="auto"/>
          <w:szCs w:val="20"/>
        </w:rPr>
        <w:t xml:space="preserve"> </w:t>
      </w:r>
      <w:r w:rsidRPr="00650283">
        <w:rPr>
          <w:szCs w:val="20"/>
        </w:rPr>
        <w:t xml:space="preserve">d’un couple </w:t>
      </w:r>
      <w:r w:rsidRPr="00D320FA">
        <w:rPr>
          <w:b/>
          <w:bCs/>
          <w:color w:val="auto"/>
          <w:szCs w:val="20"/>
          <w:u w:val="single"/>
        </w:rPr>
        <w:t xml:space="preserve">cède un proton à la base </w:t>
      </w:r>
      <w:r w:rsidRPr="00650283">
        <w:rPr>
          <w:szCs w:val="20"/>
        </w:rPr>
        <w:t>d’un autre couple</w:t>
      </w:r>
      <w:r w:rsidRPr="00A41C35">
        <w:rPr>
          <w:szCs w:val="20"/>
        </w:rPr>
        <w:t>.</w:t>
      </w:r>
    </w:p>
    <w:p w14:paraId="7790CAA6" w14:textId="77777777" w:rsidR="00D320FA" w:rsidRDefault="00D320FA" w:rsidP="00A41C35">
      <w:pPr>
        <w:spacing w:after="0" w:line="240" w:lineRule="auto"/>
        <w:jc w:val="both"/>
        <w:rPr>
          <w:sz w:val="20"/>
          <w:szCs w:val="20"/>
        </w:rPr>
      </w:pPr>
    </w:p>
    <w:p w14:paraId="1E1A0268" w14:textId="77777777" w:rsidR="00AB3EF4" w:rsidRDefault="00A41C35" w:rsidP="00A41C35">
      <w:pPr>
        <w:spacing w:after="0" w:line="240" w:lineRule="auto"/>
        <w:jc w:val="both"/>
        <w:rPr>
          <w:sz w:val="20"/>
          <w:szCs w:val="20"/>
        </w:rPr>
      </w:pPr>
      <w:r w:rsidRPr="00A41C35">
        <w:rPr>
          <w:sz w:val="20"/>
          <w:szCs w:val="20"/>
        </w:rPr>
        <w:t>Lors de l’ajout de l’espèce chimique titrante, la transformation chimique support du titrage a lieu</w:t>
      </w:r>
      <w:r w:rsidR="00AB3EF4">
        <w:rPr>
          <w:sz w:val="20"/>
          <w:szCs w:val="20"/>
        </w:rPr>
        <w:t xml:space="preserve"> : </w:t>
      </w:r>
      <w:r w:rsidRPr="00A41C35">
        <w:rPr>
          <w:sz w:val="20"/>
          <w:szCs w:val="20"/>
        </w:rPr>
        <w:t xml:space="preserve">l’acidité du milieu varie. </w:t>
      </w:r>
    </w:p>
    <w:p w14:paraId="50AE0C72" w14:textId="77777777" w:rsidR="00E31319" w:rsidRDefault="00E31319" w:rsidP="00A41C35">
      <w:pPr>
        <w:spacing w:after="0" w:line="240" w:lineRule="auto"/>
        <w:jc w:val="both"/>
        <w:rPr>
          <w:sz w:val="20"/>
          <w:szCs w:val="20"/>
        </w:rPr>
      </w:pPr>
    </w:p>
    <w:p w14:paraId="73EA4699" w14:textId="548D9FF0" w:rsidR="00E31319" w:rsidRPr="00EC36F0" w:rsidRDefault="00E31319" w:rsidP="00E31319">
      <w:pPr>
        <w:pStyle w:val="Titre2"/>
        <w:spacing w:before="0" w:after="0"/>
        <w:ind w:left="567" w:hanging="567"/>
        <w:rPr>
          <w:sz w:val="22"/>
          <w:szCs w:val="24"/>
        </w:rPr>
      </w:pPr>
      <w:r>
        <w:rPr>
          <w:sz w:val="22"/>
          <w:szCs w:val="24"/>
        </w:rPr>
        <w:t>Titrage pH-métrique</w:t>
      </w:r>
    </w:p>
    <w:p w14:paraId="180FA5B9" w14:textId="70F693F1" w:rsidR="00A41C35" w:rsidRPr="00A41C35" w:rsidRDefault="00A41C35" w:rsidP="00A41C35">
      <w:pPr>
        <w:spacing w:after="0" w:line="240" w:lineRule="auto"/>
        <w:jc w:val="both"/>
        <w:rPr>
          <w:sz w:val="20"/>
          <w:szCs w:val="20"/>
        </w:rPr>
      </w:pPr>
      <w:r w:rsidRPr="00A41C35">
        <w:rPr>
          <w:sz w:val="20"/>
          <w:szCs w:val="20"/>
        </w:rPr>
        <w:t xml:space="preserve">On peut suivre </w:t>
      </w:r>
      <w:r w:rsidRPr="00AB3EF4">
        <w:rPr>
          <w:b/>
          <w:bCs/>
          <w:sz w:val="20"/>
          <w:szCs w:val="20"/>
        </w:rPr>
        <w:t xml:space="preserve">l’évolution </w:t>
      </w:r>
      <w:r w:rsidR="00AB3EF4" w:rsidRPr="00AB3EF4">
        <w:rPr>
          <w:b/>
          <w:bCs/>
          <w:sz w:val="20"/>
          <w:szCs w:val="20"/>
        </w:rPr>
        <w:t>de</w:t>
      </w:r>
      <w:r w:rsidRPr="00AB3EF4">
        <w:rPr>
          <w:b/>
          <w:bCs/>
          <w:sz w:val="20"/>
          <w:szCs w:val="20"/>
        </w:rPr>
        <w:t xml:space="preserve"> la valeur du pH en fonction du volume d’espèce titrante ajoutée</w:t>
      </w:r>
      <w:r w:rsidR="00E31319">
        <w:rPr>
          <w:b/>
          <w:bCs/>
          <w:sz w:val="20"/>
          <w:szCs w:val="20"/>
        </w:rPr>
        <w:t> </w:t>
      </w:r>
      <w:r w:rsidR="00E31319">
        <w:rPr>
          <w:sz w:val="20"/>
          <w:szCs w:val="20"/>
        </w:rPr>
        <w:t>: à</w:t>
      </w:r>
      <w:r w:rsidRPr="00A41C35">
        <w:rPr>
          <w:sz w:val="20"/>
          <w:szCs w:val="20"/>
        </w:rPr>
        <w:t xml:space="preserve"> l’équivalence, une forte variation de pH est constaté</w:t>
      </w:r>
      <w:r w:rsidR="00DF3E11">
        <w:rPr>
          <w:sz w:val="20"/>
          <w:szCs w:val="20"/>
        </w:rPr>
        <w:t>e</w:t>
      </w:r>
      <w:r w:rsidRPr="00A41C35">
        <w:rPr>
          <w:sz w:val="20"/>
          <w:szCs w:val="20"/>
        </w:rPr>
        <w:t>. On peut relever la valeur du point équivalent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éq</m:t>
            </m:r>
          </m:sub>
        </m:sSub>
      </m:oMath>
      <w:r w:rsidR="00E31319" w:rsidRPr="00E31319">
        <w:rPr>
          <w:rFonts w:eastAsiaTheme="minorEastAsia"/>
          <w:b/>
          <w:bCs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éq</m:t>
            </m:r>
          </m:sub>
        </m:sSub>
      </m:oMath>
      <w:r w:rsidRPr="00E31319">
        <w:rPr>
          <w:sz w:val="20"/>
          <w:szCs w:val="20"/>
        </w:rPr>
        <w:t>)</w:t>
      </w:r>
      <w:r w:rsidR="00E31319">
        <w:rPr>
          <w:sz w:val="20"/>
          <w:szCs w:val="20"/>
        </w:rPr>
        <w:t>.</w:t>
      </w:r>
    </w:p>
    <w:p w14:paraId="2B556507" w14:textId="509C0B38" w:rsidR="00A41C35" w:rsidRDefault="00A41C35" w:rsidP="00A41C35">
      <w:pPr>
        <w:spacing w:after="0" w:line="240" w:lineRule="auto"/>
        <w:jc w:val="both"/>
        <w:rPr>
          <w:sz w:val="20"/>
          <w:szCs w:val="20"/>
        </w:rPr>
      </w:pPr>
    </w:p>
    <w:p w14:paraId="4EDC2C24" w14:textId="1D4A185B" w:rsidR="00E31319" w:rsidRPr="00EC36F0" w:rsidRDefault="00E31319" w:rsidP="00E31319">
      <w:pPr>
        <w:pStyle w:val="Titre2"/>
        <w:spacing w:before="0" w:after="0"/>
        <w:ind w:left="567" w:hanging="567"/>
        <w:rPr>
          <w:sz w:val="22"/>
          <w:szCs w:val="24"/>
        </w:rPr>
      </w:pPr>
      <w:r>
        <w:rPr>
          <w:sz w:val="22"/>
          <w:szCs w:val="24"/>
        </w:rPr>
        <w:t>Titrage colorimétrique</w:t>
      </w:r>
    </w:p>
    <w:p w14:paraId="7E3A9EE6" w14:textId="2AE1E0B7" w:rsidR="00A41C35" w:rsidRDefault="00E31319" w:rsidP="00A41C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peut également </w:t>
      </w:r>
      <w:r w:rsidR="00A41C35" w:rsidRPr="00E31319">
        <w:rPr>
          <w:b/>
          <w:bCs/>
          <w:sz w:val="20"/>
          <w:szCs w:val="20"/>
        </w:rPr>
        <w:t>ajoute</w:t>
      </w:r>
      <w:r w:rsidRPr="00E31319">
        <w:rPr>
          <w:b/>
          <w:bCs/>
          <w:sz w:val="20"/>
          <w:szCs w:val="20"/>
        </w:rPr>
        <w:t>r</w:t>
      </w:r>
      <w:r w:rsidR="00A41C35" w:rsidRPr="00E31319">
        <w:rPr>
          <w:b/>
          <w:bCs/>
          <w:sz w:val="20"/>
          <w:szCs w:val="20"/>
        </w:rPr>
        <w:t xml:space="preserve"> à l’espèce titrée quelques gouttes d’</w:t>
      </w:r>
      <w:r w:rsidRPr="00E31319">
        <w:rPr>
          <w:b/>
          <w:bCs/>
          <w:sz w:val="20"/>
          <w:szCs w:val="20"/>
        </w:rPr>
        <w:t xml:space="preserve">un </w:t>
      </w:r>
      <w:r w:rsidR="00A41C35" w:rsidRPr="00E31319">
        <w:rPr>
          <w:b/>
          <w:bCs/>
          <w:sz w:val="20"/>
          <w:szCs w:val="20"/>
        </w:rPr>
        <w:t>indicateur coloré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(convenablement chois</w:t>
      </w:r>
      <w:r w:rsidR="00DF3E11">
        <w:rPr>
          <w:sz w:val="20"/>
          <w:szCs w:val="20"/>
        </w:rPr>
        <w:t>i</w:t>
      </w:r>
      <w:r>
        <w:rPr>
          <w:sz w:val="20"/>
          <w:szCs w:val="20"/>
        </w:rPr>
        <w:t>) :</w:t>
      </w:r>
      <w:r w:rsidR="00AB3EF4">
        <w:rPr>
          <w:sz w:val="20"/>
          <w:szCs w:val="20"/>
        </w:rPr>
        <w:t xml:space="preserve"> l</w:t>
      </w:r>
      <w:r w:rsidR="00A41C35" w:rsidRPr="00A41C35">
        <w:rPr>
          <w:sz w:val="20"/>
          <w:szCs w:val="20"/>
        </w:rPr>
        <w:t>’équivalence</w:t>
      </w:r>
      <w:r w:rsidR="00AB3EF4">
        <w:rPr>
          <w:sz w:val="20"/>
          <w:szCs w:val="20"/>
        </w:rPr>
        <w:t xml:space="preserve"> est repérée grâce à un changement de couleur</w:t>
      </w:r>
      <w:r w:rsidR="00A41C35" w:rsidRPr="00A41C35">
        <w:rPr>
          <w:sz w:val="20"/>
          <w:szCs w:val="20"/>
        </w:rPr>
        <w:t>.</w:t>
      </w:r>
    </w:p>
    <w:p w14:paraId="46FC40D3" w14:textId="39D83A2C" w:rsidR="00D73DAD" w:rsidRDefault="00D73DAD" w:rsidP="00260F6C">
      <w:pPr>
        <w:spacing w:after="0" w:line="240" w:lineRule="auto"/>
        <w:rPr>
          <w:sz w:val="20"/>
          <w:szCs w:val="20"/>
        </w:rPr>
      </w:pPr>
    </w:p>
    <w:p w14:paraId="373C7823" w14:textId="7CC39B42" w:rsidR="00E31319" w:rsidRPr="00B360DB" w:rsidRDefault="00E31319" w:rsidP="00B360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un indicateur coloré est un couple acide/base dont les deux espèces n’ont pas la même couleur. Si la zone de virage (située autour du </w:t>
      </w:r>
      <w:proofErr w:type="spellStart"/>
      <w:r>
        <w:rPr>
          <w:sz w:val="20"/>
          <w:szCs w:val="20"/>
        </w:rPr>
        <w:t>pK</w:t>
      </w:r>
      <w:r w:rsidRPr="00B360DB">
        <w:rPr>
          <w:sz w:val="20"/>
          <w:szCs w:val="20"/>
          <w:vertAlign w:val="subscript"/>
        </w:rPr>
        <w:t>A</w:t>
      </w:r>
      <w:proofErr w:type="spellEnd"/>
      <w:r>
        <w:rPr>
          <w:sz w:val="20"/>
          <w:szCs w:val="20"/>
        </w:rPr>
        <w:t xml:space="preserve"> d</w:t>
      </w:r>
      <w:r w:rsidR="00B360DB">
        <w:rPr>
          <w:sz w:val="20"/>
          <w:szCs w:val="20"/>
        </w:rPr>
        <w:t>u couple de</w:t>
      </w:r>
      <w:r>
        <w:rPr>
          <w:sz w:val="20"/>
          <w:szCs w:val="20"/>
        </w:rPr>
        <w:t xml:space="preserve"> l’indicateur coloré)</w:t>
      </w:r>
      <w:r w:rsidR="00B360DB">
        <w:rPr>
          <w:sz w:val="20"/>
          <w:szCs w:val="20"/>
        </w:rPr>
        <w:t xml:space="preserve"> contient la valeur du pH à l’équivalence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eq</m:t>
            </m:r>
          </m:sub>
        </m:sSub>
      </m:oMath>
      <w:r w:rsidR="00B360DB">
        <w:rPr>
          <w:rFonts w:eastAsiaTheme="minorEastAsia"/>
          <w:b/>
          <w:bCs/>
          <w:sz w:val="20"/>
          <w:szCs w:val="20"/>
        </w:rPr>
        <w:t xml:space="preserve"> </w:t>
      </w:r>
      <w:r w:rsidR="00B360DB" w:rsidRPr="00B360DB">
        <w:rPr>
          <w:rFonts w:eastAsiaTheme="minorEastAsia"/>
          <w:sz w:val="20"/>
          <w:szCs w:val="20"/>
        </w:rPr>
        <w:t>, il peut être utilisé comme indicateur.</w:t>
      </w:r>
    </w:p>
    <w:sectPr w:rsidR="00E31319" w:rsidRPr="00B360DB" w:rsidSect="000B4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84E93" w14:textId="77777777" w:rsidR="00D972FD" w:rsidRDefault="00D972FD" w:rsidP="000D67B9">
      <w:pPr>
        <w:spacing w:after="0" w:line="240" w:lineRule="auto"/>
      </w:pPr>
      <w:r>
        <w:separator/>
      </w:r>
    </w:p>
  </w:endnote>
  <w:endnote w:type="continuationSeparator" w:id="0">
    <w:p w14:paraId="34B2AB5F" w14:textId="77777777" w:rsidR="00D972FD" w:rsidRDefault="00D972FD" w:rsidP="000D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889F9" w14:textId="77777777" w:rsidR="00D972FD" w:rsidRDefault="00D972FD" w:rsidP="000D67B9">
      <w:pPr>
        <w:spacing w:after="0" w:line="240" w:lineRule="auto"/>
      </w:pPr>
      <w:r>
        <w:separator/>
      </w:r>
    </w:p>
  </w:footnote>
  <w:footnote w:type="continuationSeparator" w:id="0">
    <w:p w14:paraId="53020424" w14:textId="77777777" w:rsidR="00D972FD" w:rsidRDefault="00D972FD" w:rsidP="000D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C60E6"/>
    <w:multiLevelType w:val="hybridMultilevel"/>
    <w:tmpl w:val="2FF0746A"/>
    <w:lvl w:ilvl="0" w:tplc="70028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45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F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05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E6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E0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D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05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B1C"/>
    <w:multiLevelType w:val="hybridMultilevel"/>
    <w:tmpl w:val="6F6287AA"/>
    <w:lvl w:ilvl="0" w:tplc="7B68A70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A27F3"/>
    <w:multiLevelType w:val="hybridMultilevel"/>
    <w:tmpl w:val="B22612B4"/>
    <w:lvl w:ilvl="0" w:tplc="6422E1F2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9AF89B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914D5"/>
    <w:multiLevelType w:val="hybridMultilevel"/>
    <w:tmpl w:val="AE4AE5E2"/>
    <w:lvl w:ilvl="0" w:tplc="7526C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0F7B19"/>
    <w:multiLevelType w:val="hybridMultilevel"/>
    <w:tmpl w:val="ADB0D548"/>
    <w:lvl w:ilvl="0" w:tplc="3006D5E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083E20"/>
    <w:multiLevelType w:val="hybridMultilevel"/>
    <w:tmpl w:val="94423D44"/>
    <w:lvl w:ilvl="0" w:tplc="C6C61130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83B9A"/>
    <w:multiLevelType w:val="hybridMultilevel"/>
    <w:tmpl w:val="70304ED0"/>
    <w:lvl w:ilvl="0" w:tplc="7B68A70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A2A1F"/>
    <w:multiLevelType w:val="hybridMultilevel"/>
    <w:tmpl w:val="35AECDEC"/>
    <w:lvl w:ilvl="0" w:tplc="35E644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42CBE"/>
    <w:multiLevelType w:val="hybridMultilevel"/>
    <w:tmpl w:val="464891AC"/>
    <w:lvl w:ilvl="0" w:tplc="35E6440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5B74A8"/>
    <w:multiLevelType w:val="hybridMultilevel"/>
    <w:tmpl w:val="295E6E2E"/>
    <w:lvl w:ilvl="0" w:tplc="2378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2399">
    <w:abstractNumId w:val="6"/>
  </w:num>
  <w:num w:numId="2" w16cid:durableId="2001955443">
    <w:abstractNumId w:val="14"/>
  </w:num>
  <w:num w:numId="3" w16cid:durableId="1650137497">
    <w:abstractNumId w:val="19"/>
  </w:num>
  <w:num w:numId="4" w16cid:durableId="126896155">
    <w:abstractNumId w:val="16"/>
  </w:num>
  <w:num w:numId="5" w16cid:durableId="130248606">
    <w:abstractNumId w:val="8"/>
  </w:num>
  <w:num w:numId="6" w16cid:durableId="598028111">
    <w:abstractNumId w:val="15"/>
  </w:num>
  <w:num w:numId="7" w16cid:durableId="1829249624">
    <w:abstractNumId w:val="3"/>
  </w:num>
  <w:num w:numId="8" w16cid:durableId="1963807824">
    <w:abstractNumId w:val="14"/>
  </w:num>
  <w:num w:numId="9" w16cid:durableId="1449154401">
    <w:abstractNumId w:val="6"/>
  </w:num>
  <w:num w:numId="10" w16cid:durableId="918946795">
    <w:abstractNumId w:val="14"/>
  </w:num>
  <w:num w:numId="11" w16cid:durableId="1725175456">
    <w:abstractNumId w:val="6"/>
  </w:num>
  <w:num w:numId="12" w16cid:durableId="817385832">
    <w:abstractNumId w:val="6"/>
  </w:num>
  <w:num w:numId="13" w16cid:durableId="88426277">
    <w:abstractNumId w:val="6"/>
  </w:num>
  <w:num w:numId="14" w16cid:durableId="1736587543">
    <w:abstractNumId w:val="6"/>
  </w:num>
  <w:num w:numId="15" w16cid:durableId="1003361987">
    <w:abstractNumId w:val="6"/>
  </w:num>
  <w:num w:numId="16" w16cid:durableId="1630818413">
    <w:abstractNumId w:val="6"/>
  </w:num>
  <w:num w:numId="17" w16cid:durableId="315768934">
    <w:abstractNumId w:val="6"/>
  </w:num>
  <w:num w:numId="18" w16cid:durableId="178468808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1389">
    <w:abstractNumId w:val="18"/>
  </w:num>
  <w:num w:numId="20" w16cid:durableId="1922909996">
    <w:abstractNumId w:val="12"/>
  </w:num>
  <w:num w:numId="21" w16cid:durableId="1484081482">
    <w:abstractNumId w:val="1"/>
  </w:num>
  <w:num w:numId="22" w16cid:durableId="1783720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6260809">
    <w:abstractNumId w:val="9"/>
  </w:num>
  <w:num w:numId="24" w16cid:durableId="1939871088">
    <w:abstractNumId w:val="11"/>
  </w:num>
  <w:num w:numId="25" w16cid:durableId="377123731">
    <w:abstractNumId w:val="10"/>
  </w:num>
  <w:num w:numId="26" w16cid:durableId="1397124715">
    <w:abstractNumId w:val="0"/>
  </w:num>
  <w:num w:numId="27" w16cid:durableId="482281977">
    <w:abstractNumId w:val="17"/>
  </w:num>
  <w:num w:numId="28" w16cid:durableId="636179749">
    <w:abstractNumId w:val="13"/>
  </w:num>
  <w:num w:numId="29" w16cid:durableId="1621062124">
    <w:abstractNumId w:val="5"/>
  </w:num>
  <w:num w:numId="30" w16cid:durableId="265430193">
    <w:abstractNumId w:val="20"/>
  </w:num>
  <w:num w:numId="31" w16cid:durableId="1575889825">
    <w:abstractNumId w:val="6"/>
  </w:num>
  <w:num w:numId="32" w16cid:durableId="492336758">
    <w:abstractNumId w:val="6"/>
  </w:num>
  <w:num w:numId="33" w16cid:durableId="1080249819">
    <w:abstractNumId w:val="6"/>
  </w:num>
  <w:num w:numId="34" w16cid:durableId="1236087237">
    <w:abstractNumId w:val="6"/>
  </w:num>
  <w:num w:numId="35" w16cid:durableId="272059857">
    <w:abstractNumId w:val="6"/>
  </w:num>
  <w:num w:numId="36" w16cid:durableId="554699186">
    <w:abstractNumId w:val="14"/>
  </w:num>
  <w:num w:numId="37" w16cid:durableId="1348362691">
    <w:abstractNumId w:val="6"/>
  </w:num>
  <w:num w:numId="38" w16cid:durableId="1297569125">
    <w:abstractNumId w:val="6"/>
  </w:num>
  <w:num w:numId="39" w16cid:durableId="1062026783">
    <w:abstractNumId w:val="6"/>
  </w:num>
  <w:num w:numId="40" w16cid:durableId="1873419986">
    <w:abstractNumId w:val="6"/>
  </w:num>
  <w:num w:numId="41" w16cid:durableId="194391998">
    <w:abstractNumId w:val="6"/>
  </w:num>
  <w:num w:numId="42" w16cid:durableId="192309447">
    <w:abstractNumId w:val="6"/>
  </w:num>
  <w:num w:numId="43" w16cid:durableId="695153272">
    <w:abstractNumId w:val="6"/>
  </w:num>
  <w:num w:numId="44" w16cid:durableId="1159153960">
    <w:abstractNumId w:val="6"/>
  </w:num>
  <w:num w:numId="45" w16cid:durableId="487596984">
    <w:abstractNumId w:val="6"/>
  </w:num>
  <w:num w:numId="46" w16cid:durableId="97605133">
    <w:abstractNumId w:val="7"/>
  </w:num>
  <w:num w:numId="47" w16cid:durableId="1377853718">
    <w:abstractNumId w:val="4"/>
  </w:num>
  <w:num w:numId="48" w16cid:durableId="1248999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41"/>
    <w:rsid w:val="00005DF1"/>
    <w:rsid w:val="00027460"/>
    <w:rsid w:val="00036BF2"/>
    <w:rsid w:val="000621D4"/>
    <w:rsid w:val="00063004"/>
    <w:rsid w:val="000662C6"/>
    <w:rsid w:val="000767C0"/>
    <w:rsid w:val="000B4A87"/>
    <w:rsid w:val="000C209B"/>
    <w:rsid w:val="000D67B9"/>
    <w:rsid w:val="00100C47"/>
    <w:rsid w:val="0013160C"/>
    <w:rsid w:val="00147F46"/>
    <w:rsid w:val="00152C02"/>
    <w:rsid w:val="0016215E"/>
    <w:rsid w:val="001623F2"/>
    <w:rsid w:val="0017307B"/>
    <w:rsid w:val="001A4813"/>
    <w:rsid w:val="001C44AA"/>
    <w:rsid w:val="001F4908"/>
    <w:rsid w:val="00223995"/>
    <w:rsid w:val="002310E4"/>
    <w:rsid w:val="0025197F"/>
    <w:rsid w:val="00260F6C"/>
    <w:rsid w:val="002B6D4A"/>
    <w:rsid w:val="002D6B5A"/>
    <w:rsid w:val="0036188F"/>
    <w:rsid w:val="00383D11"/>
    <w:rsid w:val="003D1F0C"/>
    <w:rsid w:val="003D70CB"/>
    <w:rsid w:val="00436026"/>
    <w:rsid w:val="00472471"/>
    <w:rsid w:val="00475BDA"/>
    <w:rsid w:val="00495ABD"/>
    <w:rsid w:val="004B66E3"/>
    <w:rsid w:val="004C7612"/>
    <w:rsid w:val="005231D0"/>
    <w:rsid w:val="005232C2"/>
    <w:rsid w:val="005A7EE1"/>
    <w:rsid w:val="00650283"/>
    <w:rsid w:val="00656249"/>
    <w:rsid w:val="006600D8"/>
    <w:rsid w:val="00676AE8"/>
    <w:rsid w:val="0069213A"/>
    <w:rsid w:val="006F6810"/>
    <w:rsid w:val="00720240"/>
    <w:rsid w:val="00737E30"/>
    <w:rsid w:val="0078636B"/>
    <w:rsid w:val="0079679E"/>
    <w:rsid w:val="007B472A"/>
    <w:rsid w:val="007B523F"/>
    <w:rsid w:val="007E0405"/>
    <w:rsid w:val="007E44C9"/>
    <w:rsid w:val="007F6896"/>
    <w:rsid w:val="00820ACF"/>
    <w:rsid w:val="008404B0"/>
    <w:rsid w:val="00843B85"/>
    <w:rsid w:val="008456D2"/>
    <w:rsid w:val="00845AF0"/>
    <w:rsid w:val="00846E2D"/>
    <w:rsid w:val="00860098"/>
    <w:rsid w:val="00862727"/>
    <w:rsid w:val="00870A0D"/>
    <w:rsid w:val="008F5B81"/>
    <w:rsid w:val="00951C6E"/>
    <w:rsid w:val="009575D9"/>
    <w:rsid w:val="00986AC9"/>
    <w:rsid w:val="009902B9"/>
    <w:rsid w:val="00990A2B"/>
    <w:rsid w:val="009C4FF4"/>
    <w:rsid w:val="00A1632C"/>
    <w:rsid w:val="00A175BA"/>
    <w:rsid w:val="00A41C35"/>
    <w:rsid w:val="00A4641A"/>
    <w:rsid w:val="00A5747A"/>
    <w:rsid w:val="00AA1706"/>
    <w:rsid w:val="00AB3EF4"/>
    <w:rsid w:val="00B020B7"/>
    <w:rsid w:val="00B217D0"/>
    <w:rsid w:val="00B360DB"/>
    <w:rsid w:val="00B91F96"/>
    <w:rsid w:val="00BA01F0"/>
    <w:rsid w:val="00BE3D91"/>
    <w:rsid w:val="00C23E9A"/>
    <w:rsid w:val="00C5255B"/>
    <w:rsid w:val="00C614EE"/>
    <w:rsid w:val="00C777FF"/>
    <w:rsid w:val="00CB7256"/>
    <w:rsid w:val="00CC15D7"/>
    <w:rsid w:val="00D320A6"/>
    <w:rsid w:val="00D320FA"/>
    <w:rsid w:val="00D3362D"/>
    <w:rsid w:val="00D4168C"/>
    <w:rsid w:val="00D66429"/>
    <w:rsid w:val="00D73DAD"/>
    <w:rsid w:val="00D972FD"/>
    <w:rsid w:val="00DC02A6"/>
    <w:rsid w:val="00DF3E11"/>
    <w:rsid w:val="00E31319"/>
    <w:rsid w:val="00E31F62"/>
    <w:rsid w:val="00E601CD"/>
    <w:rsid w:val="00E60281"/>
    <w:rsid w:val="00EA5641"/>
    <w:rsid w:val="00EC36F0"/>
    <w:rsid w:val="00EE10EF"/>
    <w:rsid w:val="00F33AF7"/>
    <w:rsid w:val="00F527DE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80D08"/>
  <w15:chartTrackingRefBased/>
  <w15:docId w15:val="{097E4E57-36EA-4AE7-A430-CAE52EC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4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A5641"/>
    <w:pPr>
      <w:keepNext/>
      <w:keepLines/>
      <w:numPr>
        <w:numId w:val="9"/>
      </w:numPr>
      <w:spacing w:before="240" w:after="120"/>
      <w:jc w:val="both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5641"/>
    <w:pPr>
      <w:keepNext/>
      <w:keepLines/>
      <w:numPr>
        <w:ilvl w:val="1"/>
        <w:numId w:val="9"/>
      </w:numPr>
      <w:spacing w:before="120" w:after="120"/>
      <w:jc w:val="both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641"/>
    <w:pPr>
      <w:numPr>
        <w:ilvl w:val="1"/>
      </w:numPr>
      <w:spacing w:before="120" w:after="0"/>
      <w:jc w:val="both"/>
      <w:outlineLvl w:val="2"/>
    </w:pPr>
    <w:rPr>
      <w:rFonts w:eastAsiaTheme="majorEastAsia" w:cstheme="majorBidi"/>
      <w:b/>
      <w:iCs/>
      <w:color w:val="7F7F7F" w:themeColor="text1" w:themeTint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5641"/>
    <w:rPr>
      <w:rFonts w:eastAsiaTheme="majorEastAsia" w:cstheme="majorBidi"/>
      <w:b/>
      <w:bCs/>
      <w:color w:val="44546A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5641"/>
    <w:rPr>
      <w:rFonts w:eastAsiaTheme="majorEastAsia" w:cstheme="majorBidi"/>
      <w:b/>
      <w:bCs/>
      <w:color w:val="4472C4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A5641"/>
    <w:rPr>
      <w:rFonts w:eastAsiaTheme="majorEastAsia" w:cstheme="majorBidi"/>
      <w:b/>
      <w:iCs/>
      <w:color w:val="7F7F7F" w:themeColor="text1" w:themeTint="80"/>
      <w:szCs w:val="24"/>
    </w:rPr>
  </w:style>
  <w:style w:type="table" w:styleId="Grilledutableau">
    <w:name w:val="Table Grid"/>
    <w:basedOn w:val="TableauNormal"/>
    <w:uiPriority w:val="39"/>
    <w:rsid w:val="00EA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EA5641"/>
    <w:pPr>
      <w:spacing w:after="0"/>
      <w:ind w:left="720"/>
      <w:contextualSpacing/>
      <w:jc w:val="both"/>
    </w:pPr>
    <w:rPr>
      <w:sz w:val="20"/>
    </w:rPr>
  </w:style>
  <w:style w:type="paragraph" w:customStyle="1" w:styleId="Aretenirtexte">
    <w:name w:val="A retenir texte"/>
    <w:basedOn w:val="Normal"/>
    <w:link w:val="AretenirtexteCar"/>
    <w:qFormat/>
    <w:rsid w:val="00EA5641"/>
    <w:pPr>
      <w:pBdr>
        <w:top w:val="single" w:sz="4" w:space="1" w:color="BDD6EE" w:themeColor="accent5" w:themeTint="66"/>
        <w:bottom w:val="single" w:sz="4" w:space="1" w:color="BDD6EE" w:themeColor="accent5" w:themeTint="66"/>
      </w:pBdr>
      <w:shd w:val="clear" w:color="auto" w:fill="E2F2F6"/>
      <w:spacing w:before="120" w:after="120"/>
      <w:ind w:left="567" w:right="567"/>
      <w:jc w:val="both"/>
    </w:pPr>
    <w:rPr>
      <w:color w:val="1F4E79" w:themeColor="accent5" w:themeShade="80"/>
      <w:sz w:val="20"/>
    </w:rPr>
  </w:style>
  <w:style w:type="character" w:customStyle="1" w:styleId="AretenirtexteCar">
    <w:name w:val="A retenir texte Car"/>
    <w:basedOn w:val="Policepardfaut"/>
    <w:link w:val="Aretenirtexte"/>
    <w:rsid w:val="00EA5641"/>
    <w:rPr>
      <w:color w:val="1F4E79" w:themeColor="accent5" w:themeShade="80"/>
      <w:sz w:val="20"/>
      <w:shd w:val="clear" w:color="auto" w:fill="E2F2F6"/>
    </w:rPr>
  </w:style>
  <w:style w:type="paragraph" w:customStyle="1" w:styleId="lgende">
    <w:name w:val="légende"/>
    <w:basedOn w:val="Sansinterligne"/>
    <w:link w:val="lgendeCar"/>
    <w:qFormat/>
    <w:rsid w:val="00EA5641"/>
    <w:pPr>
      <w:spacing w:after="120"/>
      <w:jc w:val="center"/>
    </w:pPr>
    <w:rPr>
      <w:i/>
      <w:sz w:val="20"/>
    </w:rPr>
  </w:style>
  <w:style w:type="paragraph" w:styleId="Sansinterligne">
    <w:name w:val="No Spacing"/>
    <w:link w:val="SansinterligneCar"/>
    <w:qFormat/>
    <w:rsid w:val="00EA564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14EE"/>
  </w:style>
  <w:style w:type="character" w:customStyle="1" w:styleId="lgendeCar">
    <w:name w:val="légende Car"/>
    <w:basedOn w:val="Policepardfaut"/>
    <w:link w:val="lgende"/>
    <w:rsid w:val="00EA5641"/>
    <w:rPr>
      <w:i/>
      <w:sz w:val="20"/>
    </w:rPr>
  </w:style>
  <w:style w:type="character" w:customStyle="1" w:styleId="MotClef">
    <w:name w:val="MotClef"/>
    <w:basedOn w:val="Policepardfaut"/>
    <w:qFormat/>
    <w:rsid w:val="00EA5641"/>
    <w:rPr>
      <w:b/>
      <w:color w:val="0099CC"/>
    </w:rPr>
  </w:style>
  <w:style w:type="paragraph" w:customStyle="1" w:styleId="Enumration">
    <w:name w:val="Enumération"/>
    <w:basedOn w:val="Normal"/>
    <w:link w:val="EnumrationCar"/>
    <w:qFormat/>
    <w:rsid w:val="00EA5641"/>
    <w:pPr>
      <w:numPr>
        <w:numId w:val="2"/>
      </w:numPr>
      <w:spacing w:after="0"/>
      <w:jc w:val="both"/>
    </w:pPr>
    <w:rPr>
      <w:sz w:val="20"/>
    </w:rPr>
  </w:style>
  <w:style w:type="character" w:customStyle="1" w:styleId="EnumrationCar">
    <w:name w:val="Enumération Car"/>
    <w:basedOn w:val="Policepardfaut"/>
    <w:link w:val="Enumration"/>
    <w:rsid w:val="00EA5641"/>
    <w:rPr>
      <w:sz w:val="20"/>
    </w:rPr>
  </w:style>
  <w:style w:type="character" w:styleId="Lienhypertexte">
    <w:name w:val="Hyperlink"/>
    <w:basedOn w:val="Policepardfaut"/>
    <w:uiPriority w:val="99"/>
    <w:unhideWhenUsed/>
    <w:rsid w:val="00EA5641"/>
    <w:rPr>
      <w:color w:val="2E74B5" w:themeColor="accent5" w:themeShade="BF"/>
      <w:u w:val="none"/>
    </w:rPr>
  </w:style>
  <w:style w:type="paragraph" w:customStyle="1" w:styleId="texte">
    <w:name w:val="texte"/>
    <w:basedOn w:val="Normal"/>
    <w:link w:val="texteCar"/>
    <w:qFormat/>
    <w:rsid w:val="00063004"/>
    <w:pPr>
      <w:spacing w:after="80" w:line="259" w:lineRule="auto"/>
      <w:ind w:left="567" w:right="2975"/>
      <w:jc w:val="both"/>
    </w:pPr>
    <w:rPr>
      <w:rFonts w:ascii="Arial" w:hAnsi="Arial" w:cs="Arial"/>
      <w:color w:val="211D1E"/>
      <w:sz w:val="20"/>
      <w:szCs w:val="20"/>
    </w:rPr>
  </w:style>
  <w:style w:type="character" w:customStyle="1" w:styleId="texteCar">
    <w:name w:val="texte Car"/>
    <w:basedOn w:val="Policepardfaut"/>
    <w:link w:val="texte"/>
    <w:rsid w:val="00063004"/>
    <w:rPr>
      <w:rFonts w:ascii="Arial" w:hAnsi="Arial" w:cs="Arial"/>
      <w:color w:val="211D1E"/>
      <w:sz w:val="20"/>
      <w:szCs w:val="20"/>
    </w:rPr>
  </w:style>
  <w:style w:type="paragraph" w:customStyle="1" w:styleId="encadr">
    <w:name w:val="encadré"/>
    <w:basedOn w:val="Normal"/>
    <w:next w:val="texte"/>
    <w:link w:val="encadrCar"/>
    <w:qFormat/>
    <w:rsid w:val="00063004"/>
    <w:pPr>
      <w:shd w:val="clear" w:color="auto" w:fill="E2EFD9" w:themeFill="accent6" w:themeFillTint="33"/>
      <w:autoSpaceDE w:val="0"/>
      <w:autoSpaceDN w:val="0"/>
      <w:adjustRightInd w:val="0"/>
      <w:spacing w:before="200" w:after="280" w:line="226" w:lineRule="atLeast"/>
      <w:ind w:left="567" w:right="2975"/>
      <w:jc w:val="both"/>
    </w:pPr>
    <w:rPr>
      <w:rFonts w:ascii="Arial" w:hAnsi="Arial" w:cs="Arial"/>
      <w:sz w:val="18"/>
      <w:szCs w:val="18"/>
    </w:rPr>
  </w:style>
  <w:style w:type="character" w:customStyle="1" w:styleId="encadrCar">
    <w:name w:val="encadré Car"/>
    <w:basedOn w:val="Policepardfaut"/>
    <w:link w:val="encadr"/>
    <w:rsid w:val="00063004"/>
    <w:rPr>
      <w:rFonts w:ascii="Arial" w:hAnsi="Arial" w:cs="Arial"/>
      <w:sz w:val="18"/>
      <w:szCs w:val="18"/>
      <w:shd w:val="clear" w:color="auto" w:fill="E2EFD9" w:themeFill="accent6" w:themeFillTint="33"/>
    </w:rPr>
  </w:style>
  <w:style w:type="paragraph" w:customStyle="1" w:styleId="Corps">
    <w:name w:val="Corps"/>
    <w:rsid w:val="000630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614EE"/>
    <w:pPr>
      <w:pBdr>
        <w:bottom w:val="single" w:sz="8" w:space="1" w:color="323E4F" w:themeColor="text2" w:themeShade="BF"/>
      </w:pBdr>
      <w:spacing w:before="360" w:after="480" w:line="240" w:lineRule="auto"/>
      <w:contextualSpacing/>
      <w:jc w:val="both"/>
    </w:pPr>
    <w:rPr>
      <w:rFonts w:eastAsiaTheme="majorEastAsia" w:cstheme="majorBidi"/>
      <w:b/>
      <w:color w:val="323E4F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14EE"/>
    <w:rPr>
      <w:rFonts w:eastAsiaTheme="majorEastAsia" w:cstheme="majorBidi"/>
      <w:b/>
      <w:color w:val="323E4F" w:themeColor="text2" w:themeShade="BF"/>
      <w:spacing w:val="5"/>
      <w:kern w:val="28"/>
      <w:sz w:val="48"/>
      <w:szCs w:val="52"/>
    </w:rPr>
  </w:style>
  <w:style w:type="paragraph" w:customStyle="1" w:styleId="Motclef0">
    <w:name w:val="Mot clef"/>
    <w:basedOn w:val="Normal"/>
    <w:link w:val="MotclefCar"/>
    <w:rsid w:val="00C614EE"/>
    <w:pPr>
      <w:spacing w:after="0"/>
      <w:jc w:val="both"/>
    </w:pPr>
    <w:rPr>
      <w:b/>
      <w:color w:val="00B0F0"/>
      <w:sz w:val="20"/>
    </w:rPr>
  </w:style>
  <w:style w:type="character" w:customStyle="1" w:styleId="MotclefCar">
    <w:name w:val="Mot clef Car"/>
    <w:basedOn w:val="Policepardfaut"/>
    <w:link w:val="Motclef0"/>
    <w:rsid w:val="00C614EE"/>
    <w:rPr>
      <w:b/>
      <w:color w:val="00B0F0"/>
      <w:sz w:val="20"/>
    </w:rPr>
  </w:style>
  <w:style w:type="paragraph" w:styleId="En-tte">
    <w:name w:val="header"/>
    <w:basedOn w:val="Normal"/>
    <w:link w:val="En-tteCar"/>
    <w:uiPriority w:val="99"/>
    <w:unhideWhenUsed/>
    <w:rsid w:val="00C614EE"/>
    <w:pPr>
      <w:tabs>
        <w:tab w:val="center" w:pos="4536"/>
        <w:tab w:val="right" w:pos="9072"/>
      </w:tabs>
      <w:spacing w:after="0" w:line="240" w:lineRule="auto"/>
      <w:jc w:val="both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614EE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614EE"/>
    <w:pPr>
      <w:tabs>
        <w:tab w:val="center" w:pos="4536"/>
        <w:tab w:val="right" w:pos="9072"/>
      </w:tabs>
      <w:spacing w:after="0" w:line="240" w:lineRule="auto"/>
      <w:jc w:val="both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614EE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4EE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4E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614EE"/>
    <w:rPr>
      <w:color w:val="808080"/>
    </w:rPr>
  </w:style>
  <w:style w:type="paragraph" w:customStyle="1" w:styleId="Aretenirquation">
    <w:name w:val="A retenir équation"/>
    <w:basedOn w:val="Normal"/>
    <w:link w:val="AretenirquationCar"/>
    <w:qFormat/>
    <w:rsid w:val="00C614EE"/>
    <w:pPr>
      <w:framePr w:hSpace="567" w:wrap="notBeside" w:vAnchor="text" w:hAnchor="text" w:xAlign="center" w:y="1"/>
      <w:pBdr>
        <w:top w:val="single" w:sz="4" w:space="1" w:color="BDD6EE" w:themeColor="accent5" w:themeTint="66"/>
        <w:bottom w:val="single" w:sz="4" w:space="1" w:color="BDD6EE" w:themeColor="accent5" w:themeTint="66"/>
      </w:pBdr>
      <w:shd w:val="clear" w:color="auto" w:fill="E2F2F6"/>
      <w:spacing w:before="120" w:after="0"/>
      <w:jc w:val="both"/>
      <w:textboxTightWrap w:val="allLines"/>
    </w:pPr>
    <w:rPr>
      <w:rFonts w:eastAsiaTheme="minorEastAsia"/>
      <w:color w:val="1F4E79" w:themeColor="accent5" w:themeShade="80"/>
      <w:sz w:val="20"/>
    </w:rPr>
  </w:style>
  <w:style w:type="character" w:customStyle="1" w:styleId="AretenirquationCar">
    <w:name w:val="A retenir équation Car"/>
    <w:basedOn w:val="Policepardfaut"/>
    <w:link w:val="Aretenirquation"/>
    <w:rsid w:val="00C614EE"/>
    <w:rPr>
      <w:rFonts w:eastAsiaTheme="minorEastAsia"/>
      <w:color w:val="1F4E79" w:themeColor="accent5" w:themeShade="80"/>
      <w:sz w:val="20"/>
      <w:shd w:val="clear" w:color="auto" w:fill="E2F2F6"/>
    </w:rPr>
  </w:style>
  <w:style w:type="character" w:styleId="Marquedecommentaire">
    <w:name w:val="annotation reference"/>
    <w:basedOn w:val="Policepardfaut"/>
    <w:uiPriority w:val="99"/>
    <w:semiHidden/>
    <w:unhideWhenUsed/>
    <w:rsid w:val="00862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2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2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2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031">
          <w:marLeft w:val="1714"/>
          <w:marRight w:val="23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479">
          <w:marLeft w:val="1714"/>
          <w:marRight w:val="23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Rappels sur la transformation chimique</vt:lpstr>
      <vt:lpstr>    Réactifs et produits</vt:lpstr>
      <vt:lpstr>    Nombre stœchiométriques de l’équation qui modélise la transformation chimique</vt:lpstr>
      <vt:lpstr>    Réactif limitant et proportions stœchiométriques</vt:lpstr>
      <vt:lpstr>Titrage d’une espèce chimique</vt:lpstr>
      <vt:lpstr>    Titrage et transformation chimique</vt:lpstr>
      <vt:lpstr>    Equivalence du titrage</vt:lpstr>
      <vt:lpstr>    Incertitudes liées au titrage</vt:lpstr>
      <vt:lpstr>Titrage direct</vt:lpstr>
      <vt:lpstr>    Définition</vt:lpstr>
      <vt:lpstr>    Relations à l’équivalence</vt:lpstr>
      <vt:lpstr>    Détermination de la concentration de la solution titrée</vt:lpstr>
      <vt:lpstr>Cas particulier du titrage acidobasique</vt:lpstr>
      <vt:lpstr>    Titrage pH-métrique</vt:lpstr>
      <vt:lpstr>    Titrage colorimétrique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Spony</dc:creator>
  <cp:keywords/>
  <dc:description/>
  <cp:lastModifiedBy>Emilie</cp:lastModifiedBy>
  <cp:revision>2</cp:revision>
  <cp:lastPrinted>2020-05-05T15:58:00Z</cp:lastPrinted>
  <dcterms:created xsi:type="dcterms:W3CDTF">2024-06-10T17:44:00Z</dcterms:created>
  <dcterms:modified xsi:type="dcterms:W3CDTF">2024-06-10T17:44:00Z</dcterms:modified>
</cp:coreProperties>
</file>