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9D332" w14:textId="7C6F2C0B" w:rsidR="00F81251" w:rsidRDefault="00B83088" w:rsidP="00F81251">
      <w:pPr>
        <w:jc w:val="center"/>
        <w:rPr>
          <w:b/>
          <w:sz w:val="24"/>
          <w:szCs w:val="24"/>
        </w:rPr>
      </w:pPr>
      <w:r>
        <w:rPr>
          <w:b/>
          <w:sz w:val="24"/>
          <w:szCs w:val="24"/>
        </w:rPr>
        <w:t>Classe de première STL</w:t>
      </w:r>
    </w:p>
    <w:p w14:paraId="4F816DF0" w14:textId="78C95CEB" w:rsidR="00503D57" w:rsidRDefault="00BD68A6" w:rsidP="00503D57">
      <w:pPr>
        <w:jc w:val="center"/>
        <w:rPr>
          <w:b/>
          <w:sz w:val="24"/>
          <w:szCs w:val="24"/>
        </w:rPr>
      </w:pPr>
      <w:r>
        <w:rPr>
          <w:b/>
          <w:sz w:val="24"/>
          <w:szCs w:val="24"/>
        </w:rPr>
        <w:t>S</w:t>
      </w:r>
      <w:r w:rsidR="00503D57">
        <w:rPr>
          <w:b/>
          <w:sz w:val="24"/>
          <w:szCs w:val="24"/>
        </w:rPr>
        <w:t xml:space="preserve">ciences physiques et chimiques en laboratoire   </w:t>
      </w:r>
    </w:p>
    <w:sdt>
      <w:sdtPr>
        <w:rPr>
          <w:rFonts w:asciiTheme="minorHAnsi" w:eastAsiaTheme="minorHAnsi" w:hAnsiTheme="minorHAnsi" w:cstheme="minorBidi"/>
          <w:b w:val="0"/>
          <w:bCs w:val="0"/>
          <w:color w:val="auto"/>
          <w:sz w:val="22"/>
          <w:szCs w:val="22"/>
          <w:lang w:eastAsia="en-US"/>
        </w:rPr>
        <w:id w:val="-1622529347"/>
        <w:docPartObj>
          <w:docPartGallery w:val="Table of Contents"/>
          <w:docPartUnique/>
        </w:docPartObj>
      </w:sdtPr>
      <w:sdtEndPr/>
      <w:sdtContent>
        <w:p w14:paraId="754E94FF" w14:textId="06FA6946" w:rsidR="005C5156" w:rsidRPr="005C5156" w:rsidRDefault="005C5156">
          <w:pPr>
            <w:pStyle w:val="En-ttedetabledesmatires"/>
            <w:rPr>
              <w:color w:val="3333FF"/>
            </w:rPr>
          </w:pPr>
          <w:r w:rsidRPr="005C5156">
            <w:rPr>
              <w:color w:val="3333FF"/>
            </w:rPr>
            <w:t>Table des matières</w:t>
          </w:r>
        </w:p>
        <w:p w14:paraId="28F41AA8" w14:textId="77777777" w:rsidR="00BD68A6" w:rsidRDefault="005C5156">
          <w:pPr>
            <w:pStyle w:val="TM1"/>
            <w:tabs>
              <w:tab w:val="left" w:pos="440"/>
              <w:tab w:val="right" w:leader="dot" w:pos="9629"/>
            </w:tabs>
            <w:rPr>
              <w:rFonts w:eastAsiaTheme="minorEastAsia"/>
              <w:noProof/>
              <w:lang w:eastAsia="fr-FR"/>
            </w:rPr>
          </w:pPr>
          <w:r>
            <w:fldChar w:fldCharType="begin"/>
          </w:r>
          <w:r>
            <w:instrText xml:space="preserve"> TOC \o "1-3" \h \z \u </w:instrText>
          </w:r>
          <w:r>
            <w:fldChar w:fldCharType="separate"/>
          </w:r>
          <w:hyperlink w:anchor="_Toc40526791" w:history="1">
            <w:r w:rsidR="00BD68A6" w:rsidRPr="001D6D2C">
              <w:rPr>
                <w:rStyle w:val="Lienhypertexte"/>
                <w:noProof/>
              </w:rPr>
              <w:t>1.</w:t>
            </w:r>
            <w:r w:rsidR="00BD68A6">
              <w:rPr>
                <w:rFonts w:eastAsiaTheme="minorEastAsia"/>
                <w:noProof/>
                <w:lang w:eastAsia="fr-FR"/>
              </w:rPr>
              <w:tab/>
            </w:r>
            <w:r w:rsidR="00BD68A6" w:rsidRPr="001D6D2C">
              <w:rPr>
                <w:rStyle w:val="Lienhypertexte"/>
                <w:noProof/>
              </w:rPr>
              <w:t>Physique, Chimie et Mathématiques (PCM) : programme de physique-chimie</w:t>
            </w:r>
            <w:r w:rsidR="00BD68A6">
              <w:rPr>
                <w:noProof/>
                <w:webHidden/>
              </w:rPr>
              <w:tab/>
            </w:r>
            <w:r w:rsidR="00BD68A6">
              <w:rPr>
                <w:noProof/>
                <w:webHidden/>
              </w:rPr>
              <w:fldChar w:fldCharType="begin"/>
            </w:r>
            <w:r w:rsidR="00BD68A6">
              <w:rPr>
                <w:noProof/>
                <w:webHidden/>
              </w:rPr>
              <w:instrText xml:space="preserve"> PAGEREF _Toc40526791 \h </w:instrText>
            </w:r>
            <w:r w:rsidR="00BD68A6">
              <w:rPr>
                <w:noProof/>
                <w:webHidden/>
              </w:rPr>
            </w:r>
            <w:r w:rsidR="00BD68A6">
              <w:rPr>
                <w:noProof/>
                <w:webHidden/>
              </w:rPr>
              <w:fldChar w:fldCharType="separate"/>
            </w:r>
            <w:r w:rsidR="00BD68A6">
              <w:rPr>
                <w:noProof/>
                <w:webHidden/>
              </w:rPr>
              <w:t>1</w:t>
            </w:r>
            <w:r w:rsidR="00BD68A6">
              <w:rPr>
                <w:noProof/>
                <w:webHidden/>
              </w:rPr>
              <w:fldChar w:fldCharType="end"/>
            </w:r>
          </w:hyperlink>
        </w:p>
        <w:p w14:paraId="37AF54AE" w14:textId="77777777" w:rsidR="00BD68A6" w:rsidRDefault="00BD68A6">
          <w:pPr>
            <w:pStyle w:val="TM1"/>
            <w:tabs>
              <w:tab w:val="left" w:pos="440"/>
              <w:tab w:val="right" w:leader="dot" w:pos="9629"/>
            </w:tabs>
            <w:rPr>
              <w:rFonts w:eastAsiaTheme="minorEastAsia"/>
              <w:noProof/>
              <w:lang w:eastAsia="fr-FR"/>
            </w:rPr>
          </w:pPr>
          <w:hyperlink w:anchor="_Toc40526792" w:history="1">
            <w:r w:rsidRPr="001D6D2C">
              <w:rPr>
                <w:rStyle w:val="Lienhypertexte"/>
                <w:noProof/>
              </w:rPr>
              <w:t>2.</w:t>
            </w:r>
            <w:r>
              <w:rPr>
                <w:rFonts w:eastAsiaTheme="minorEastAsia"/>
                <w:noProof/>
                <w:lang w:eastAsia="fr-FR"/>
              </w:rPr>
              <w:tab/>
            </w:r>
            <w:r w:rsidRPr="001D6D2C">
              <w:rPr>
                <w:rStyle w:val="Lienhypertexte"/>
                <w:noProof/>
              </w:rPr>
              <w:t>Sciences physiques et chimiques en laboratoire</w:t>
            </w:r>
            <w:r>
              <w:rPr>
                <w:noProof/>
                <w:webHidden/>
              </w:rPr>
              <w:tab/>
            </w:r>
            <w:r>
              <w:rPr>
                <w:noProof/>
                <w:webHidden/>
              </w:rPr>
              <w:fldChar w:fldCharType="begin"/>
            </w:r>
            <w:r>
              <w:rPr>
                <w:noProof/>
                <w:webHidden/>
              </w:rPr>
              <w:instrText xml:space="preserve"> PAGEREF _Toc40526792 \h </w:instrText>
            </w:r>
            <w:r>
              <w:rPr>
                <w:noProof/>
                <w:webHidden/>
              </w:rPr>
            </w:r>
            <w:r>
              <w:rPr>
                <w:noProof/>
                <w:webHidden/>
              </w:rPr>
              <w:fldChar w:fldCharType="separate"/>
            </w:r>
            <w:r>
              <w:rPr>
                <w:noProof/>
                <w:webHidden/>
              </w:rPr>
              <w:t>2</w:t>
            </w:r>
            <w:r>
              <w:rPr>
                <w:noProof/>
                <w:webHidden/>
              </w:rPr>
              <w:fldChar w:fldCharType="end"/>
            </w:r>
          </w:hyperlink>
        </w:p>
        <w:p w14:paraId="5F52C60D" w14:textId="7189E51B" w:rsidR="005C5156" w:rsidRPr="005C5156" w:rsidRDefault="005C5156" w:rsidP="005C5156">
          <w:r>
            <w:rPr>
              <w:b/>
              <w:bCs/>
            </w:rPr>
            <w:fldChar w:fldCharType="end"/>
          </w:r>
        </w:p>
      </w:sdtContent>
    </w:sdt>
    <w:p w14:paraId="2610E966" w14:textId="4887047D" w:rsidR="00E33AE7" w:rsidRPr="005C5156" w:rsidRDefault="00CD363C" w:rsidP="00BD68A6">
      <w:pPr>
        <w:pStyle w:val="Titre1"/>
      </w:pPr>
      <w:bookmarkStart w:id="0" w:name="_Toc40526791"/>
      <w:r w:rsidRPr="005C5156">
        <w:t>Physique,</w:t>
      </w:r>
      <w:r w:rsidR="00F81251" w:rsidRPr="005C5156">
        <w:t xml:space="preserve"> C</w:t>
      </w:r>
      <w:r w:rsidRPr="005C5156">
        <w:t>himie et Mathématiques (PCM</w:t>
      </w:r>
      <w:r w:rsidR="00801368" w:rsidRPr="005C5156">
        <w:t>)</w:t>
      </w:r>
      <w:r w:rsidR="00BD68A6">
        <w:t> : p</w:t>
      </w:r>
      <w:r w:rsidR="00B83088" w:rsidRPr="005C5156">
        <w:t>rogramme de physique-chimie</w:t>
      </w:r>
      <w:bookmarkEnd w:id="0"/>
      <w:r w:rsidR="00B83088" w:rsidRPr="005C5156">
        <w:t xml:space="preserve"> </w:t>
      </w:r>
    </w:p>
    <w:p w14:paraId="31BECA1A" w14:textId="01D4116D" w:rsidR="00865549" w:rsidRPr="005A61C7" w:rsidRDefault="0003317A" w:rsidP="002D0D10">
      <w:pPr>
        <w:spacing w:after="120"/>
        <w:jc w:val="both"/>
      </w:pPr>
      <w:r w:rsidRPr="005A61C7">
        <w:t xml:space="preserve">Les repères donnés ci-dessous ont une valeur indicative et visent simplement à </w:t>
      </w:r>
      <w:r w:rsidR="00A6069E" w:rsidRPr="005A61C7">
        <w:t xml:space="preserve">aider le professeur à </w:t>
      </w:r>
      <w:r w:rsidR="00126168" w:rsidRPr="005A61C7">
        <w:t xml:space="preserve">identifier les capacités </w:t>
      </w:r>
      <w:r w:rsidRPr="005A61C7">
        <w:t>clés qu</w:t>
      </w:r>
      <w:r w:rsidR="00A6069E" w:rsidRPr="005A61C7">
        <w:t>’il</w:t>
      </w:r>
      <w:r w:rsidRPr="005A61C7">
        <w:t xml:space="preserve"> peut c</w:t>
      </w:r>
      <w:bookmarkStart w:id="1" w:name="_GoBack"/>
      <w:bookmarkEnd w:id="1"/>
      <w:r w:rsidRPr="005A61C7">
        <w:t xml:space="preserve">hoisir </w:t>
      </w:r>
      <w:r w:rsidR="00126168" w:rsidRPr="005A61C7">
        <w:t>de travailler</w:t>
      </w:r>
      <w:r w:rsidR="00926EF6">
        <w:t xml:space="preserve"> ou d’approfondir </w:t>
      </w:r>
      <w:r w:rsidR="00126168" w:rsidRPr="005A61C7">
        <w:t xml:space="preserve">durant la période </w:t>
      </w:r>
      <w:r w:rsidRPr="005A61C7">
        <w:t xml:space="preserve">de reprise. </w:t>
      </w:r>
    </w:p>
    <w:p w14:paraId="7F5C0E40" w14:textId="62E4C974" w:rsidR="00865549" w:rsidRPr="005A61C7" w:rsidRDefault="00865549" w:rsidP="002D0D10">
      <w:pPr>
        <w:spacing w:after="120"/>
        <w:jc w:val="both"/>
      </w:pPr>
      <w:r w:rsidRPr="005A61C7">
        <w:t xml:space="preserve">Pendant cette courte période de reprise, il est d’abord nécessaire de rassurer et de réengager progressivement les élèves dans les apprentissages. Ainsi il est possible de reprendre les notions abordées juste avant la période de confinement et de réinvestir ce qui pourra </w:t>
      </w:r>
      <w:r w:rsidR="00C62CE3">
        <w:t>éventuellement</w:t>
      </w:r>
      <w:r w:rsidR="00C62CE3" w:rsidRPr="005A61C7">
        <w:t xml:space="preserve"> </w:t>
      </w:r>
      <w:r w:rsidRPr="005A61C7">
        <w:t>avoir été fait lors de la période de confinement</w:t>
      </w:r>
      <w:r w:rsidR="003558B6">
        <w:t xml:space="preserve"> afin de stabiliser </w:t>
      </w:r>
      <w:r w:rsidR="00926EF6">
        <w:t>ces apprentissages</w:t>
      </w:r>
      <w:r w:rsidRPr="005A61C7">
        <w:t xml:space="preserve">. </w:t>
      </w:r>
    </w:p>
    <w:p w14:paraId="099BA00B" w14:textId="692CF31D" w:rsidR="005935D0" w:rsidRPr="005A61C7" w:rsidRDefault="00865549" w:rsidP="002D0D10">
      <w:pPr>
        <w:spacing w:after="120"/>
        <w:jc w:val="both"/>
      </w:pPr>
      <w:r w:rsidRPr="005A61C7">
        <w:t xml:space="preserve">À l’issue </w:t>
      </w:r>
      <w:r w:rsidR="00FE4330" w:rsidRPr="005A61C7">
        <w:t xml:space="preserve">et en complément </w:t>
      </w:r>
      <w:r w:rsidRPr="005A61C7">
        <w:t xml:space="preserve">de ce temps de réinstallation dans les apprentissages, l’objectif est d’accompagner au mieux les élèves avec </w:t>
      </w:r>
      <w:r w:rsidR="00E314DA">
        <w:t>l’</w:t>
      </w:r>
      <w:r w:rsidRPr="005A61C7">
        <w:t xml:space="preserve">objectif de préparer </w:t>
      </w:r>
      <w:r w:rsidR="00A35C83">
        <w:t xml:space="preserve">une rentrée dans les meilleures conditions possibles en classe de terminale STL. </w:t>
      </w:r>
      <w:r w:rsidR="001957AC" w:rsidRPr="005A61C7">
        <w:t>Dans cette logique, d</w:t>
      </w:r>
      <w:r w:rsidR="0003317A" w:rsidRPr="005A61C7">
        <w:t xml:space="preserve">es </w:t>
      </w:r>
      <w:r w:rsidR="001957AC" w:rsidRPr="005A61C7">
        <w:t xml:space="preserve">notions et capacités du programme </w:t>
      </w:r>
      <w:r w:rsidR="0003317A" w:rsidRPr="005A61C7">
        <w:t xml:space="preserve">ont été </w:t>
      </w:r>
      <w:r w:rsidR="00A6069E" w:rsidRPr="005A61C7">
        <w:t>identifiée</w:t>
      </w:r>
      <w:r w:rsidR="00A814D6" w:rsidRPr="005A61C7">
        <w:t>s</w:t>
      </w:r>
      <w:r w:rsidR="001957AC" w:rsidRPr="005A61C7">
        <w:t xml:space="preserve"> pour mettre </w:t>
      </w:r>
      <w:r w:rsidR="00B83088">
        <w:t xml:space="preserve">en </w:t>
      </w:r>
      <w:r w:rsidR="001957AC" w:rsidRPr="005A61C7">
        <w:t xml:space="preserve">œuvre cette démarche pédagogique. </w:t>
      </w:r>
      <w:r w:rsidR="00FE4330" w:rsidRPr="005A61C7">
        <w:t>Toutes ces notions et capacités ne sont pas à travailler</w:t>
      </w:r>
      <w:r w:rsidR="005935D0" w:rsidRPr="005A61C7">
        <w:t xml:space="preserve"> sur la fin de l’année</w:t>
      </w:r>
      <w:r w:rsidR="00FE4330" w:rsidRPr="005A61C7">
        <w:t xml:space="preserve">, </w:t>
      </w:r>
      <w:r w:rsidR="005935D0" w:rsidRPr="005A61C7">
        <w:t>l</w:t>
      </w:r>
      <w:r w:rsidR="0003317A" w:rsidRPr="005A61C7">
        <w:t xml:space="preserve">es choix </w:t>
      </w:r>
      <w:r w:rsidR="00A6069E" w:rsidRPr="005A61C7">
        <w:t xml:space="preserve">effectués </w:t>
      </w:r>
      <w:r w:rsidR="005935D0" w:rsidRPr="005A61C7">
        <w:t xml:space="preserve">par les équipes pédagogiques </w:t>
      </w:r>
      <w:r w:rsidR="00A6069E" w:rsidRPr="005A61C7">
        <w:t>dépendent</w:t>
      </w:r>
      <w:r w:rsidR="0003317A" w:rsidRPr="005A61C7">
        <w:t xml:space="preserve"> </w:t>
      </w:r>
      <w:r w:rsidR="00A6069E" w:rsidRPr="005A61C7">
        <w:t xml:space="preserve">naturellement </w:t>
      </w:r>
      <w:r w:rsidR="0003317A" w:rsidRPr="005A61C7">
        <w:t>de ce qui a déjà été traité</w:t>
      </w:r>
      <w:r w:rsidR="00D454D4" w:rsidRPr="005A61C7">
        <w:t xml:space="preserve"> </w:t>
      </w:r>
      <w:r w:rsidR="005935D0" w:rsidRPr="005A61C7">
        <w:t>en amont</w:t>
      </w:r>
      <w:r w:rsidR="00D454D4" w:rsidRPr="005A61C7">
        <w:t xml:space="preserve"> et </w:t>
      </w:r>
      <w:r w:rsidR="00A6069E" w:rsidRPr="005A61C7">
        <w:t>des conditions de la continuité pédagogique pendant la période de confinement</w:t>
      </w:r>
      <w:r w:rsidR="005935D0" w:rsidRPr="005A61C7">
        <w:t> </w:t>
      </w:r>
      <w:r w:rsidR="005935D0" w:rsidRPr="0002214B">
        <w:rPr>
          <w:b/>
        </w:rPr>
        <w:t xml:space="preserve">: </w:t>
      </w:r>
      <w:r w:rsidR="005935D0" w:rsidRPr="009E3D13">
        <w:rPr>
          <w:b/>
        </w:rPr>
        <w:t xml:space="preserve">choisir </w:t>
      </w:r>
      <w:r w:rsidR="007A052F" w:rsidRPr="009E3D13">
        <w:rPr>
          <w:b/>
        </w:rPr>
        <w:t>parmi les capacités proposées soit celles</w:t>
      </w:r>
      <w:r w:rsidR="005935D0" w:rsidRPr="009E3D13">
        <w:rPr>
          <w:b/>
        </w:rPr>
        <w:t xml:space="preserve"> qui </w:t>
      </w:r>
      <w:r w:rsidR="007A052F" w:rsidRPr="009E3D13">
        <w:rPr>
          <w:b/>
        </w:rPr>
        <w:t xml:space="preserve">ont été peu </w:t>
      </w:r>
      <w:r w:rsidR="005935D0" w:rsidRPr="009E3D13">
        <w:rPr>
          <w:b/>
        </w:rPr>
        <w:t>abordé</w:t>
      </w:r>
      <w:r w:rsidR="007A052F" w:rsidRPr="009E3D13">
        <w:rPr>
          <w:b/>
        </w:rPr>
        <w:t>es</w:t>
      </w:r>
      <w:r w:rsidR="0002214B" w:rsidRPr="009E3D13">
        <w:rPr>
          <w:b/>
        </w:rPr>
        <w:t>,</w:t>
      </w:r>
      <w:r w:rsidR="005935D0" w:rsidRPr="009E3D13">
        <w:rPr>
          <w:b/>
        </w:rPr>
        <w:t xml:space="preserve"> soit </w:t>
      </w:r>
      <w:r w:rsidR="007A052F" w:rsidRPr="009E3D13">
        <w:rPr>
          <w:b/>
        </w:rPr>
        <w:t xml:space="preserve">celles </w:t>
      </w:r>
      <w:r w:rsidR="005935D0" w:rsidRPr="009E3D13">
        <w:rPr>
          <w:b/>
        </w:rPr>
        <w:t xml:space="preserve">qui </w:t>
      </w:r>
      <w:r w:rsidR="007A052F" w:rsidRPr="009E3D13">
        <w:rPr>
          <w:b/>
        </w:rPr>
        <w:t>méritent d’être approfondies.</w:t>
      </w:r>
    </w:p>
    <w:p w14:paraId="626E5685" w14:textId="1246260F" w:rsidR="00D454D4" w:rsidRPr="00772905" w:rsidRDefault="005935D0" w:rsidP="00772905">
      <w:pPr>
        <w:spacing w:after="120"/>
        <w:jc w:val="both"/>
      </w:pPr>
      <w:r w:rsidRPr="005A61C7">
        <w:t>Concernant la formation aux compétences expérimentales</w:t>
      </w:r>
      <w:r w:rsidR="00E314DA">
        <w:t xml:space="preserve"> et </w:t>
      </w:r>
      <w:r w:rsidR="00E314DA" w:rsidRPr="00E314DA">
        <w:t xml:space="preserve">compte tenu des contraintes sanitaires, il est </w:t>
      </w:r>
      <w:r w:rsidR="00B83088">
        <w:t>préférable</w:t>
      </w:r>
      <w:r w:rsidR="00E314DA" w:rsidRPr="00E314DA">
        <w:t xml:space="preserve"> de s’appuyer sur des expériences conduites par le professeur, des vidéos</w:t>
      </w:r>
      <w:r w:rsidR="00B83088">
        <w:t>, des animations</w:t>
      </w:r>
      <w:r w:rsidR="00E314DA" w:rsidRPr="00E314DA">
        <w:t xml:space="preserve"> et des simulations </w:t>
      </w:r>
      <w:r w:rsidR="00E314DA" w:rsidRPr="005A61C7">
        <w:t>pour travailler la co</w:t>
      </w:r>
      <w:r w:rsidR="0016597A">
        <w:t>mpréhension</w:t>
      </w:r>
      <w:r w:rsidR="00E314DA" w:rsidRPr="005A61C7">
        <w:t xml:space="preserve"> et l’analyse de protocoles et sur l’exploitation des données expérimentales.</w:t>
      </w:r>
      <w:r w:rsidR="00E314DA">
        <w:t xml:space="preserve"> </w:t>
      </w:r>
    </w:p>
    <w:tbl>
      <w:tblPr>
        <w:tblStyle w:val="Grilledutableau"/>
        <w:tblW w:w="0" w:type="auto"/>
        <w:tblLook w:val="04A0" w:firstRow="1" w:lastRow="0" w:firstColumn="1" w:lastColumn="0" w:noHBand="0" w:noVBand="1"/>
      </w:tblPr>
      <w:tblGrid>
        <w:gridCol w:w="9747"/>
      </w:tblGrid>
      <w:tr w:rsidR="009848DE" w:rsidRPr="005C5156" w14:paraId="16B6DCEE" w14:textId="77777777" w:rsidTr="000D0172">
        <w:tc>
          <w:tcPr>
            <w:tcW w:w="9747" w:type="dxa"/>
          </w:tcPr>
          <w:p w14:paraId="4F33F124" w14:textId="74398EC1" w:rsidR="00DD38E3" w:rsidRPr="005C5156" w:rsidRDefault="00D415FF" w:rsidP="005C5156">
            <w:pPr>
              <w:rPr>
                <w:b/>
              </w:rPr>
            </w:pPr>
            <w:r w:rsidRPr="005C5156">
              <w:rPr>
                <w:b/>
              </w:rPr>
              <w:t>Constitution de la matière</w:t>
            </w:r>
          </w:p>
        </w:tc>
      </w:tr>
      <w:tr w:rsidR="00DD38E3" w:rsidRPr="002F37F4" w14:paraId="131B5DB4" w14:textId="77777777" w:rsidTr="000D0172">
        <w:trPr>
          <w:trHeight w:val="1360"/>
        </w:trPr>
        <w:tc>
          <w:tcPr>
            <w:tcW w:w="9747" w:type="dxa"/>
          </w:tcPr>
          <w:p w14:paraId="23AC0C91" w14:textId="77777777" w:rsidR="00DD38E3" w:rsidRDefault="00DD38E3" w:rsidP="009848DE">
            <w:pPr>
              <w:pStyle w:val="Paragraphedeliste"/>
              <w:numPr>
                <w:ilvl w:val="0"/>
                <w:numId w:val="6"/>
              </w:numPr>
              <w:spacing w:before="60" w:after="60"/>
              <w:ind w:left="426"/>
              <w:jc w:val="both"/>
            </w:pPr>
            <w:r w:rsidRPr="002F37F4">
              <w:t>Écrire les formules développées, semi-développées et topologiques de molécules organiques</w:t>
            </w:r>
            <w:r>
              <w:t xml:space="preserve"> et repérer </w:t>
            </w:r>
            <w:r w:rsidRPr="002F37F4">
              <w:t>les groupes caractéristiques</w:t>
            </w:r>
            <w:r>
              <w:t xml:space="preserve"> et les fonctions associées.</w:t>
            </w:r>
          </w:p>
          <w:p w14:paraId="22F3B751" w14:textId="77777777" w:rsidR="00DD38E3" w:rsidRPr="009848DE" w:rsidRDefault="00DD38E3" w:rsidP="009848DE">
            <w:pPr>
              <w:pStyle w:val="Paragraphedeliste"/>
              <w:numPr>
                <w:ilvl w:val="0"/>
                <w:numId w:val="6"/>
              </w:numPr>
              <w:spacing w:before="60" w:after="60"/>
              <w:ind w:left="426"/>
              <w:rPr>
                <w:strike/>
              </w:rPr>
            </w:pPr>
            <w:r w:rsidRPr="002F37F4">
              <w:t xml:space="preserve">Déterminer une quantité de matière </w:t>
            </w:r>
            <w:r>
              <w:t xml:space="preserve">dans un solide, un liquide, un mélange ou une solution. </w:t>
            </w:r>
          </w:p>
          <w:p w14:paraId="1A6AED39" w14:textId="7E114060" w:rsidR="00DD38E3" w:rsidRPr="0072141C" w:rsidRDefault="00DD38E3" w:rsidP="003558B6">
            <w:pPr>
              <w:pStyle w:val="Paragraphedeliste"/>
              <w:numPr>
                <w:ilvl w:val="0"/>
                <w:numId w:val="6"/>
              </w:numPr>
              <w:spacing w:before="60" w:after="60"/>
              <w:ind w:left="426"/>
              <w:jc w:val="both"/>
            </w:pPr>
            <w:r w:rsidRPr="002F37F4">
              <w:t>Effectuer un bilan de matière lors de la dissolution totale d’une espèce solide ionique</w:t>
            </w:r>
            <w:r>
              <w:t xml:space="preserve"> et exploiter </w:t>
            </w:r>
            <w:r w:rsidRPr="002F37F4">
              <w:t xml:space="preserve">des données sur la solubilité pour établir qu’une solution est saturée ou non. </w:t>
            </w:r>
          </w:p>
        </w:tc>
      </w:tr>
      <w:tr w:rsidR="000471A0" w:rsidRPr="002F37F4" w14:paraId="4213732A" w14:textId="77777777" w:rsidTr="000D0172">
        <w:tc>
          <w:tcPr>
            <w:tcW w:w="9747" w:type="dxa"/>
            <w:tcBorders>
              <w:top w:val="single" w:sz="4" w:space="0" w:color="auto"/>
            </w:tcBorders>
          </w:tcPr>
          <w:p w14:paraId="6D67CC3F" w14:textId="71E2CE67" w:rsidR="000471A0" w:rsidRPr="002F37F4" w:rsidRDefault="00B83088" w:rsidP="009848DE">
            <w:pPr>
              <w:spacing w:before="60"/>
              <w:jc w:val="both"/>
            </w:pPr>
            <w:r>
              <w:rPr>
                <w:color w:val="FF0000"/>
                <w:u w:val="single"/>
              </w:rPr>
              <w:t>Conseil</w:t>
            </w:r>
            <w:r w:rsidR="000471A0" w:rsidRPr="00B83088">
              <w:rPr>
                <w:color w:val="FF0000"/>
              </w:rPr>
              <w:t> :</w:t>
            </w:r>
            <w:r w:rsidR="0008090D" w:rsidRPr="00B83088">
              <w:rPr>
                <w:color w:val="FF0000"/>
              </w:rPr>
              <w:t xml:space="preserve"> </w:t>
            </w:r>
            <w:r w:rsidR="009848DE" w:rsidRPr="00B83088">
              <w:rPr>
                <w:color w:val="FF0000"/>
              </w:rPr>
              <w:t>exploiter de</w:t>
            </w:r>
            <w:r w:rsidR="00D040B6" w:rsidRPr="00B83088">
              <w:rPr>
                <w:color w:val="FF0000"/>
              </w:rPr>
              <w:t>s</w:t>
            </w:r>
            <w:r w:rsidR="0008090D" w:rsidRPr="00B83088">
              <w:rPr>
                <w:color w:val="FF0000"/>
              </w:rPr>
              <w:t xml:space="preserve"> situations expérimentales (expérience de cours ou</w:t>
            </w:r>
            <w:r w:rsidR="009848DE" w:rsidRPr="00B83088">
              <w:rPr>
                <w:color w:val="FF0000"/>
              </w:rPr>
              <w:t xml:space="preserve"> </w:t>
            </w:r>
            <w:r w:rsidR="0008090D" w:rsidRPr="00B83088">
              <w:rPr>
                <w:color w:val="FF0000"/>
              </w:rPr>
              <w:t>vidéos) ou de</w:t>
            </w:r>
            <w:r w:rsidR="00D040B6" w:rsidRPr="00B83088">
              <w:rPr>
                <w:color w:val="FF0000"/>
              </w:rPr>
              <w:t>s</w:t>
            </w:r>
            <w:r w:rsidR="0008090D" w:rsidRPr="00B83088">
              <w:rPr>
                <w:color w:val="FF0000"/>
              </w:rPr>
              <w:t xml:space="preserve"> simulations pour </w:t>
            </w:r>
            <w:r w:rsidR="00485D46" w:rsidRPr="00B83088">
              <w:rPr>
                <w:color w:val="FF0000"/>
              </w:rPr>
              <w:t xml:space="preserve">expliciter ou </w:t>
            </w:r>
            <w:r w:rsidR="0008090D" w:rsidRPr="00B83088">
              <w:rPr>
                <w:color w:val="FF0000"/>
              </w:rPr>
              <w:t>réinvestir les notions du programme</w:t>
            </w:r>
            <w:r w:rsidR="00485D46" w:rsidRPr="00B83088">
              <w:rPr>
                <w:color w:val="FF0000"/>
              </w:rPr>
              <w:t xml:space="preserve">. </w:t>
            </w:r>
          </w:p>
        </w:tc>
      </w:tr>
    </w:tbl>
    <w:p w14:paraId="03190A84" w14:textId="77777777" w:rsidR="009848DE" w:rsidRPr="009848DE" w:rsidRDefault="009848DE" w:rsidP="009848DE">
      <w:pPr>
        <w:rPr>
          <w:lang w:eastAsia="fr-FR"/>
        </w:rPr>
      </w:pPr>
    </w:p>
    <w:tbl>
      <w:tblPr>
        <w:tblStyle w:val="Grilledutableau"/>
        <w:tblW w:w="0" w:type="auto"/>
        <w:tblLook w:val="04A0" w:firstRow="1" w:lastRow="0" w:firstColumn="1" w:lastColumn="0" w:noHBand="0" w:noVBand="1"/>
      </w:tblPr>
      <w:tblGrid>
        <w:gridCol w:w="9747"/>
      </w:tblGrid>
      <w:tr w:rsidR="006D0091" w:rsidRPr="005C5156" w14:paraId="5457FA01" w14:textId="77777777" w:rsidTr="008F354C">
        <w:tc>
          <w:tcPr>
            <w:tcW w:w="9747" w:type="dxa"/>
          </w:tcPr>
          <w:p w14:paraId="3DDFF8C9" w14:textId="2B79DA62" w:rsidR="006D0091" w:rsidRPr="005C5156" w:rsidRDefault="00D415FF" w:rsidP="005C5156">
            <w:pPr>
              <w:rPr>
                <w:b/>
              </w:rPr>
            </w:pPr>
            <w:r w:rsidRPr="005C5156">
              <w:rPr>
                <w:b/>
              </w:rPr>
              <w:t>Transformation chimique de la matière</w:t>
            </w:r>
          </w:p>
        </w:tc>
      </w:tr>
      <w:tr w:rsidR="006D0091" w:rsidRPr="002F37F4" w14:paraId="2EB06DE8" w14:textId="77777777" w:rsidTr="008F354C">
        <w:tc>
          <w:tcPr>
            <w:tcW w:w="9747" w:type="dxa"/>
          </w:tcPr>
          <w:p w14:paraId="11AC0CF6" w14:textId="25152B19" w:rsidR="006D0091" w:rsidRDefault="006D0091" w:rsidP="00957051">
            <w:pPr>
              <w:pStyle w:val="Paragraphedeliste"/>
              <w:numPr>
                <w:ilvl w:val="0"/>
                <w:numId w:val="7"/>
              </w:numPr>
              <w:spacing w:before="60" w:after="60"/>
            </w:pPr>
            <w:r>
              <w:t>Exploiter des résultats expérimentaux de transformation</w:t>
            </w:r>
            <w:r w:rsidR="00B83088">
              <w:t>s</w:t>
            </w:r>
            <w:r>
              <w:t xml:space="preserve"> chimiques d’acide ou de base dans l’eau pour </w:t>
            </w:r>
            <w:r w:rsidR="007062EA">
              <w:t xml:space="preserve">déterminer </w:t>
            </w:r>
            <w:r>
              <w:t xml:space="preserve">si elles sont modélisables par une réaction </w:t>
            </w:r>
            <w:r w:rsidRPr="002F37F4">
              <w:t xml:space="preserve">totale </w:t>
            </w:r>
            <w:r>
              <w:t xml:space="preserve">ou non totale. </w:t>
            </w:r>
          </w:p>
          <w:p w14:paraId="03DCF4B8" w14:textId="73DE1A08" w:rsidR="006D0091" w:rsidRDefault="006D0091" w:rsidP="00957051">
            <w:pPr>
              <w:pStyle w:val="Paragraphedeliste"/>
              <w:numPr>
                <w:ilvl w:val="0"/>
                <w:numId w:val="7"/>
              </w:numPr>
              <w:spacing w:before="60"/>
            </w:pPr>
            <w:r>
              <w:t>Dans un protocole expérimental, identifier les espèces spectatrices.</w:t>
            </w:r>
          </w:p>
          <w:p w14:paraId="64B27E9E" w14:textId="26EF26C6" w:rsidR="006D0091" w:rsidRPr="0072141C" w:rsidRDefault="006D0091" w:rsidP="00957051">
            <w:pPr>
              <w:pStyle w:val="Paragraphedeliste"/>
              <w:numPr>
                <w:ilvl w:val="0"/>
                <w:numId w:val="7"/>
              </w:numPr>
              <w:spacing w:before="60" w:after="60"/>
              <w:jc w:val="both"/>
            </w:pPr>
            <w:r w:rsidRPr="002F37F4">
              <w:t xml:space="preserve">Identifier l’espèce prédominante d’un couple acide/base en fonction du pH du milieu et du </w:t>
            </w:r>
            <w:proofErr w:type="spellStart"/>
            <w:r w:rsidRPr="002F37F4">
              <w:t>pK</w:t>
            </w:r>
            <w:proofErr w:type="spellEnd"/>
            <w:r w:rsidRPr="00957051">
              <w:rPr>
                <w:position w:val="-4"/>
              </w:rPr>
              <w:t xml:space="preserve">a </w:t>
            </w:r>
            <w:r w:rsidRPr="002F37F4">
              <w:t xml:space="preserve">du </w:t>
            </w:r>
            <w:r w:rsidRPr="002F37F4">
              <w:lastRenderedPageBreak/>
              <w:t>couple</w:t>
            </w:r>
            <w:r>
              <w:t>.</w:t>
            </w:r>
            <w:r w:rsidRPr="00957051">
              <w:rPr>
                <w:strike/>
              </w:rPr>
              <w:t xml:space="preserve"> </w:t>
            </w:r>
          </w:p>
        </w:tc>
      </w:tr>
      <w:tr w:rsidR="000D0172" w:rsidRPr="002F37F4" w14:paraId="1F35FE33" w14:textId="77777777" w:rsidTr="008F354C">
        <w:tc>
          <w:tcPr>
            <w:tcW w:w="9747" w:type="dxa"/>
          </w:tcPr>
          <w:p w14:paraId="48B69319" w14:textId="6D59F683" w:rsidR="000D0172" w:rsidRDefault="000D0172" w:rsidP="001113E5">
            <w:pPr>
              <w:pStyle w:val="Paragraphedeliste"/>
              <w:numPr>
                <w:ilvl w:val="0"/>
                <w:numId w:val="7"/>
              </w:numPr>
              <w:spacing w:before="60" w:after="60"/>
              <w:jc w:val="both"/>
            </w:pPr>
            <w:r w:rsidRPr="002E4BA2">
              <w:lastRenderedPageBreak/>
              <w:t xml:space="preserve">Exploiter des données expérimentales </w:t>
            </w:r>
            <w:r>
              <w:t xml:space="preserve">de cinétique permettant de </w:t>
            </w:r>
            <w:r w:rsidRPr="002E4BA2">
              <w:t>mettre en évidence l’influence de la température ou des concentrations des réactifs sur l</w:t>
            </w:r>
            <w:r>
              <w:t>es</w:t>
            </w:r>
            <w:r w:rsidRPr="002E4BA2">
              <w:t xml:space="preserve"> vitesse</w:t>
            </w:r>
            <w:r>
              <w:t>s</w:t>
            </w:r>
            <w:r w:rsidRPr="002E4BA2">
              <w:t xml:space="preserve"> de disparition ou d’apparition.</w:t>
            </w:r>
          </w:p>
        </w:tc>
      </w:tr>
      <w:tr w:rsidR="000471A0" w:rsidRPr="002F37F4" w14:paraId="55D466B2" w14:textId="77777777" w:rsidTr="008F354C">
        <w:tc>
          <w:tcPr>
            <w:tcW w:w="9747" w:type="dxa"/>
          </w:tcPr>
          <w:p w14:paraId="7565B561" w14:textId="3A706522" w:rsidR="000471A0" w:rsidRPr="00B83088" w:rsidRDefault="000471A0" w:rsidP="00B16902">
            <w:pPr>
              <w:spacing w:before="60"/>
              <w:jc w:val="both"/>
              <w:rPr>
                <w:color w:val="FF0000"/>
              </w:rPr>
            </w:pPr>
            <w:r w:rsidRPr="00B83088">
              <w:rPr>
                <w:color w:val="FF0000"/>
                <w:u w:val="single"/>
              </w:rPr>
              <w:t>Conseils</w:t>
            </w:r>
            <w:r w:rsidRPr="00B83088">
              <w:rPr>
                <w:color w:val="FF0000"/>
              </w:rPr>
              <w:t> :</w:t>
            </w:r>
            <w:r w:rsidR="0008090D" w:rsidRPr="00B83088">
              <w:rPr>
                <w:color w:val="FF0000"/>
              </w:rPr>
              <w:t xml:space="preserve"> partir de situations expérimentales (expérience de cours ou vidéos) ou d’exploitation</w:t>
            </w:r>
            <w:r w:rsidR="00C7129F" w:rsidRPr="00B83088">
              <w:rPr>
                <w:color w:val="FF0000"/>
              </w:rPr>
              <w:t>s</w:t>
            </w:r>
            <w:r w:rsidR="0008090D" w:rsidRPr="00B83088">
              <w:rPr>
                <w:color w:val="FF0000"/>
              </w:rPr>
              <w:t xml:space="preserve"> de simulations pour </w:t>
            </w:r>
            <w:r w:rsidR="007062EA" w:rsidRPr="00B83088">
              <w:rPr>
                <w:color w:val="FF0000"/>
              </w:rPr>
              <w:t xml:space="preserve">expliciter ou </w:t>
            </w:r>
            <w:r w:rsidR="0008090D" w:rsidRPr="00B83088">
              <w:rPr>
                <w:color w:val="FF0000"/>
              </w:rPr>
              <w:t>réinvestir les notions du programme</w:t>
            </w:r>
            <w:r w:rsidR="007062EA" w:rsidRPr="00B83088">
              <w:rPr>
                <w:color w:val="FF0000"/>
              </w:rPr>
              <w:t>.</w:t>
            </w:r>
            <w:r w:rsidR="009848DE" w:rsidRPr="00B83088">
              <w:rPr>
                <w:color w:val="FF0000"/>
              </w:rPr>
              <w:t xml:space="preserve"> Ainsi l’exploitation des résultats expérimentaux de transformation chimiques d’acide ou de base dans l’eau p</w:t>
            </w:r>
            <w:r w:rsidR="00957051" w:rsidRPr="00B83088">
              <w:rPr>
                <w:color w:val="FF0000"/>
              </w:rPr>
              <w:t xml:space="preserve">ermet de réinvestir la </w:t>
            </w:r>
            <w:r w:rsidR="009848DE" w:rsidRPr="00B83088">
              <w:rPr>
                <w:color w:val="FF0000"/>
              </w:rPr>
              <w:t xml:space="preserve">relation définissant le pH et </w:t>
            </w:r>
            <w:r w:rsidR="00957051" w:rsidRPr="00B83088">
              <w:rPr>
                <w:color w:val="FF0000"/>
              </w:rPr>
              <w:t xml:space="preserve">la notion de </w:t>
            </w:r>
            <w:proofErr w:type="spellStart"/>
            <w:r w:rsidR="00957051" w:rsidRPr="00B83088">
              <w:rPr>
                <w:color w:val="FF0000"/>
              </w:rPr>
              <w:t>pKa</w:t>
            </w:r>
            <w:proofErr w:type="spellEnd"/>
            <w:r w:rsidR="009E3D13" w:rsidRPr="00B83088">
              <w:rPr>
                <w:color w:val="FF0000"/>
              </w:rPr>
              <w:t>.</w:t>
            </w:r>
          </w:p>
          <w:p w14:paraId="59EC35AF" w14:textId="4A0F308B" w:rsidR="000471A0" w:rsidRPr="002F37F4" w:rsidRDefault="002E4BA2" w:rsidP="00225F85">
            <w:pPr>
              <w:jc w:val="both"/>
            </w:pPr>
            <w:r w:rsidRPr="00B83088">
              <w:rPr>
                <w:color w:val="FF0000"/>
              </w:rPr>
              <w:t xml:space="preserve">Pour la cinétique chimique, si elle n’a pas </w:t>
            </w:r>
            <w:r w:rsidR="007062EA" w:rsidRPr="00B83088">
              <w:rPr>
                <w:color w:val="FF0000"/>
              </w:rPr>
              <w:t xml:space="preserve">encore </w:t>
            </w:r>
            <w:r w:rsidRPr="00B83088">
              <w:rPr>
                <w:color w:val="FF0000"/>
              </w:rPr>
              <w:t>été traitée, ne pas entrer dans le formalisme qui sera repris en terminale mais sensibiliser au phénomène, ce qui permet d’introduire le temps de demi-réaction</w:t>
            </w:r>
            <w:r w:rsidR="0008090D" w:rsidRPr="00B83088">
              <w:rPr>
                <w:color w:val="FF0000"/>
              </w:rPr>
              <w:t xml:space="preserve"> à partir de données expérimentales.</w:t>
            </w:r>
          </w:p>
        </w:tc>
      </w:tr>
    </w:tbl>
    <w:p w14:paraId="43C6314B" w14:textId="77777777" w:rsidR="00957051" w:rsidRPr="00957051" w:rsidRDefault="00957051" w:rsidP="00957051">
      <w:pPr>
        <w:rPr>
          <w:lang w:eastAsia="fr-FR"/>
        </w:rPr>
      </w:pPr>
    </w:p>
    <w:tbl>
      <w:tblPr>
        <w:tblStyle w:val="Grilledutableau"/>
        <w:tblW w:w="0" w:type="auto"/>
        <w:tblLook w:val="04A0" w:firstRow="1" w:lastRow="0" w:firstColumn="1" w:lastColumn="0" w:noHBand="0" w:noVBand="1"/>
      </w:tblPr>
      <w:tblGrid>
        <w:gridCol w:w="9747"/>
      </w:tblGrid>
      <w:tr w:rsidR="008621F7" w:rsidRPr="005C5156" w14:paraId="24312546" w14:textId="77777777" w:rsidTr="008F354C">
        <w:tc>
          <w:tcPr>
            <w:tcW w:w="9747" w:type="dxa"/>
          </w:tcPr>
          <w:p w14:paraId="15602326" w14:textId="3101C5B9" w:rsidR="008621F7" w:rsidRPr="005C5156" w:rsidRDefault="000832F7" w:rsidP="005C5156">
            <w:pPr>
              <w:rPr>
                <w:b/>
              </w:rPr>
            </w:pPr>
            <w:r w:rsidRPr="005C5156">
              <w:rPr>
                <w:b/>
              </w:rPr>
              <w:t>Mouvements et interactions</w:t>
            </w:r>
            <w:r w:rsidRPr="005C5156" w:rsidDel="000832F7">
              <w:rPr>
                <w:b/>
              </w:rPr>
              <w:t xml:space="preserve"> </w:t>
            </w:r>
          </w:p>
        </w:tc>
      </w:tr>
      <w:tr w:rsidR="008621F7" w:rsidRPr="002F37F4" w14:paraId="773251C1" w14:textId="77777777" w:rsidTr="008F354C">
        <w:tc>
          <w:tcPr>
            <w:tcW w:w="9747" w:type="dxa"/>
          </w:tcPr>
          <w:p w14:paraId="008DD7E3" w14:textId="34219B72" w:rsidR="008621F7" w:rsidRPr="002F37F4" w:rsidRDefault="008621F7" w:rsidP="001113E5">
            <w:pPr>
              <w:pStyle w:val="Paragraphedeliste"/>
              <w:numPr>
                <w:ilvl w:val="0"/>
                <w:numId w:val="8"/>
              </w:numPr>
              <w:spacing w:before="60" w:after="60"/>
              <w:jc w:val="both"/>
            </w:pPr>
            <w:r>
              <w:t>Exploiter des résultats expérimentaux pour évaluer une vitesse ou une accélération</w:t>
            </w:r>
            <w:r w:rsidR="00DB3FA8">
              <w:t xml:space="preserve"> pour différents mouvements</w:t>
            </w:r>
            <w:r>
              <w:t xml:space="preserve">. </w:t>
            </w:r>
          </w:p>
          <w:p w14:paraId="104A9838" w14:textId="2E786C58" w:rsidR="008621F7" w:rsidRDefault="008621F7" w:rsidP="001113E5">
            <w:pPr>
              <w:pStyle w:val="Paragraphedeliste"/>
              <w:numPr>
                <w:ilvl w:val="0"/>
                <w:numId w:val="8"/>
              </w:numPr>
              <w:jc w:val="both"/>
            </w:pPr>
            <w:r>
              <w:t xml:space="preserve">Analyser et exploiter des situations ou résultats expérimentaux, des vidéos ou des simulations de mouvements pour effectuer </w:t>
            </w:r>
            <w:r w:rsidR="00C7129F">
              <w:t>un bilan</w:t>
            </w:r>
            <w:r>
              <w:t xml:space="preserve"> de forces et </w:t>
            </w:r>
            <w:r w:rsidR="00C7129F">
              <w:t xml:space="preserve">mener une </w:t>
            </w:r>
            <w:r>
              <w:t xml:space="preserve">évaluation quantitative de la somme des forces appliquées grâce à la seconde loi de Newton. </w:t>
            </w:r>
          </w:p>
          <w:p w14:paraId="1CDDE45A" w14:textId="3BBD8232" w:rsidR="008621F7" w:rsidRDefault="008621F7" w:rsidP="001113E5">
            <w:pPr>
              <w:pStyle w:val="Paragraphedeliste"/>
              <w:numPr>
                <w:ilvl w:val="0"/>
                <w:numId w:val="8"/>
              </w:numPr>
              <w:spacing w:before="60" w:after="60"/>
              <w:jc w:val="both"/>
            </w:pPr>
            <w:r w:rsidRPr="002F37F4">
              <w:t>Exploiter des résultats expérimentaux</w:t>
            </w:r>
            <w:r>
              <w:t xml:space="preserve">, </w:t>
            </w:r>
            <w:r w:rsidRPr="00D040B6">
              <w:t>de</w:t>
            </w:r>
            <w:r w:rsidR="00D040B6" w:rsidRPr="00D040B6">
              <w:t>s</w:t>
            </w:r>
            <w:r w:rsidRPr="00D040B6">
              <w:t xml:space="preserve"> vidéos ou de</w:t>
            </w:r>
            <w:r w:rsidR="00D040B6" w:rsidRPr="00D040B6">
              <w:t>s</w:t>
            </w:r>
            <w:r>
              <w:t xml:space="preserve"> simulations de mouvements de chute verticale</w:t>
            </w:r>
            <w:r w:rsidRPr="002F37F4">
              <w:t xml:space="preserve"> </w:t>
            </w:r>
            <w:r>
              <w:t>pour les confronter au modèle de la chute libre et caractériser</w:t>
            </w:r>
            <w:r w:rsidRPr="002F37F4">
              <w:t xml:space="preserve"> l’effet d’un frottement </w:t>
            </w:r>
            <w:r w:rsidR="00D166FB">
              <w:t>et</w:t>
            </w:r>
            <w:r w:rsidRPr="002F37F4">
              <w:t xml:space="preserve"> de la poussée d’Archimède</w:t>
            </w:r>
            <w:r>
              <w:t>.</w:t>
            </w:r>
          </w:p>
          <w:p w14:paraId="2458A157" w14:textId="1987E327" w:rsidR="008621F7" w:rsidRPr="002F37F4" w:rsidRDefault="008621F7" w:rsidP="001113E5">
            <w:pPr>
              <w:pStyle w:val="Paragraphedeliste"/>
              <w:numPr>
                <w:ilvl w:val="0"/>
                <w:numId w:val="8"/>
              </w:numPr>
              <w:spacing w:before="60" w:after="60"/>
              <w:jc w:val="both"/>
            </w:pPr>
            <w:r>
              <w:t>Analyser et interpréter des résultats expérimentaux, des vidéos en exploitant les transferts énergétiques.</w:t>
            </w:r>
          </w:p>
        </w:tc>
      </w:tr>
      <w:tr w:rsidR="000471A0" w:rsidRPr="002F37F4" w14:paraId="703C7C75" w14:textId="77777777" w:rsidTr="008F354C">
        <w:tc>
          <w:tcPr>
            <w:tcW w:w="9747" w:type="dxa"/>
          </w:tcPr>
          <w:p w14:paraId="49380002" w14:textId="2CB9CC90" w:rsidR="000471A0" w:rsidRPr="00B83088" w:rsidRDefault="000471A0" w:rsidP="00957051">
            <w:pPr>
              <w:spacing w:before="60"/>
              <w:jc w:val="both"/>
              <w:rPr>
                <w:color w:val="FF0000"/>
              </w:rPr>
            </w:pPr>
            <w:r w:rsidRPr="00B83088">
              <w:rPr>
                <w:color w:val="FF0000"/>
                <w:u w:val="single"/>
              </w:rPr>
              <w:t>Conseils</w:t>
            </w:r>
            <w:r w:rsidRPr="00B83088">
              <w:rPr>
                <w:color w:val="FF0000"/>
              </w:rPr>
              <w:t> :</w:t>
            </w:r>
            <w:r w:rsidR="0008090D" w:rsidRPr="00B83088">
              <w:rPr>
                <w:color w:val="FF0000"/>
              </w:rPr>
              <w:t xml:space="preserve"> partir de situations expérimentales (expérience de cours ou vidéos) ou d’exploitation de simulations pour </w:t>
            </w:r>
            <w:r w:rsidR="00D166FB" w:rsidRPr="00B83088">
              <w:rPr>
                <w:color w:val="FF0000"/>
              </w:rPr>
              <w:t xml:space="preserve">expliciter ou </w:t>
            </w:r>
            <w:r w:rsidR="0008090D" w:rsidRPr="00B83088">
              <w:rPr>
                <w:color w:val="FF0000"/>
              </w:rPr>
              <w:t>réinvestir les notions du programme</w:t>
            </w:r>
            <w:r w:rsidR="00D166FB" w:rsidRPr="00B83088">
              <w:rPr>
                <w:color w:val="FF0000"/>
              </w:rPr>
              <w:t>.</w:t>
            </w:r>
            <w:r w:rsidR="00957051" w:rsidRPr="00B83088">
              <w:rPr>
                <w:color w:val="FF0000"/>
              </w:rPr>
              <w:t xml:space="preserve"> L’exploitation de ces données permet ainsi de retravailler la deuxième loi de Newton.</w:t>
            </w:r>
          </w:p>
          <w:p w14:paraId="38AD6D07" w14:textId="20BEFA93" w:rsidR="000471A0" w:rsidRPr="002F37F4" w:rsidRDefault="00536B15" w:rsidP="00197CB1">
            <w:pPr>
              <w:jc w:val="both"/>
            </w:pPr>
            <w:r w:rsidRPr="00B83088">
              <w:rPr>
                <w:color w:val="FF0000"/>
              </w:rPr>
              <w:t xml:space="preserve">La démarche de modélisation occupant une place centrale en physique-chimie, </w:t>
            </w:r>
            <w:r w:rsidR="00D35015" w:rsidRPr="00B83088">
              <w:rPr>
                <w:color w:val="FF0000"/>
              </w:rPr>
              <w:t xml:space="preserve">s’appuyer </w:t>
            </w:r>
            <w:r w:rsidR="00197CB1" w:rsidRPr="00B83088">
              <w:rPr>
                <w:color w:val="FF0000"/>
              </w:rPr>
              <w:t>sur le</w:t>
            </w:r>
            <w:r w:rsidRPr="00B83088">
              <w:rPr>
                <w:color w:val="FF0000"/>
              </w:rPr>
              <w:t xml:space="preserve"> lien entre les expériences ou les simulations et les modèles.</w:t>
            </w:r>
            <w:r w:rsidR="00957051" w:rsidRPr="00B83088">
              <w:rPr>
                <w:color w:val="FF0000"/>
              </w:rPr>
              <w:t xml:space="preserve"> Ainsi l’étude de données expérimentales de mouvements de chute verticale permet de réinvestir le modèle de la chute libre. </w:t>
            </w:r>
          </w:p>
        </w:tc>
      </w:tr>
    </w:tbl>
    <w:p w14:paraId="6D7AA9D8" w14:textId="77777777" w:rsidR="001113E5" w:rsidRPr="001113E5" w:rsidRDefault="001113E5" w:rsidP="001113E5">
      <w:pPr>
        <w:rPr>
          <w:lang w:eastAsia="fr-FR"/>
        </w:rPr>
      </w:pPr>
    </w:p>
    <w:tbl>
      <w:tblPr>
        <w:tblStyle w:val="Grilledutableau"/>
        <w:tblW w:w="0" w:type="auto"/>
        <w:tblLook w:val="04A0" w:firstRow="1" w:lastRow="0" w:firstColumn="1" w:lastColumn="0" w:noHBand="0" w:noVBand="1"/>
      </w:tblPr>
      <w:tblGrid>
        <w:gridCol w:w="9747"/>
      </w:tblGrid>
      <w:tr w:rsidR="0021736D" w:rsidRPr="005C5156" w14:paraId="51FE5634" w14:textId="77777777" w:rsidTr="008F354C">
        <w:tc>
          <w:tcPr>
            <w:tcW w:w="9747" w:type="dxa"/>
          </w:tcPr>
          <w:p w14:paraId="6008F07A" w14:textId="5F5B472E" w:rsidR="0021736D" w:rsidRPr="005C5156" w:rsidRDefault="003B124E" w:rsidP="005C5156">
            <w:pPr>
              <w:rPr>
                <w:b/>
              </w:rPr>
            </w:pPr>
            <w:r w:rsidRPr="005C5156">
              <w:rPr>
                <w:b/>
              </w:rPr>
              <w:t xml:space="preserve"> Ondes </w:t>
            </w:r>
            <w:r w:rsidR="00DA5BEF" w:rsidRPr="005C5156">
              <w:rPr>
                <w:b/>
              </w:rPr>
              <w:t>sonores</w:t>
            </w:r>
            <w:r w:rsidRPr="005C5156">
              <w:rPr>
                <w:b/>
              </w:rPr>
              <w:t xml:space="preserve"> et ondes électromagnétiques</w:t>
            </w:r>
          </w:p>
        </w:tc>
      </w:tr>
      <w:tr w:rsidR="0021736D" w:rsidRPr="002F37F4" w14:paraId="10943DFD" w14:textId="77777777" w:rsidTr="008F354C">
        <w:tc>
          <w:tcPr>
            <w:tcW w:w="9747" w:type="dxa"/>
          </w:tcPr>
          <w:p w14:paraId="559CAA29" w14:textId="3823244A" w:rsidR="0021736D" w:rsidRDefault="0021736D" w:rsidP="001113E5">
            <w:pPr>
              <w:pStyle w:val="Paragraphedeliste"/>
              <w:numPr>
                <w:ilvl w:val="0"/>
                <w:numId w:val="9"/>
              </w:numPr>
              <w:spacing w:before="60" w:after="60"/>
              <w:jc w:val="both"/>
            </w:pPr>
            <w:r>
              <w:t xml:space="preserve">Classer les ondes (électromagnétiques et </w:t>
            </w:r>
            <w:r w:rsidR="00DA5BEF">
              <w:t>acoustiques</w:t>
            </w:r>
            <w:r>
              <w:t xml:space="preserve">) en fonction de leur fréquence, de leur longueur d’onde ou de leur énergie </w:t>
            </w:r>
            <w:r w:rsidRPr="001113E5">
              <w:t>(ondes électromagnétiques)</w:t>
            </w:r>
            <w:r w:rsidR="00B83088">
              <w:t>.</w:t>
            </w:r>
          </w:p>
          <w:p w14:paraId="7638C959" w14:textId="37340C4A" w:rsidR="0021736D" w:rsidRDefault="0021736D" w:rsidP="001113E5">
            <w:pPr>
              <w:pStyle w:val="Paragraphedeliste"/>
              <w:numPr>
                <w:ilvl w:val="0"/>
                <w:numId w:val="9"/>
              </w:numPr>
              <w:spacing w:before="60" w:after="60"/>
              <w:jc w:val="both"/>
            </w:pPr>
            <w:r>
              <w:t xml:space="preserve">Exploiter des résultats expérimentaux pour déterminer </w:t>
            </w:r>
            <w:r w:rsidRPr="00D16686">
              <w:t>des distances à partir de la mesure d’un temps de vol d’une onde sonore ou ultrasonore</w:t>
            </w:r>
            <w:r w:rsidR="00B83088">
              <w:t>.</w:t>
            </w:r>
          </w:p>
          <w:p w14:paraId="7B914F18" w14:textId="77777777" w:rsidR="0021736D" w:rsidRPr="002F37F4" w:rsidRDefault="0021736D" w:rsidP="001113E5">
            <w:pPr>
              <w:pStyle w:val="Paragraphedeliste"/>
              <w:numPr>
                <w:ilvl w:val="0"/>
                <w:numId w:val="9"/>
              </w:numPr>
              <w:spacing w:before="60" w:after="60"/>
              <w:jc w:val="both"/>
            </w:pPr>
            <w:r>
              <w:t xml:space="preserve">Utiliser le </w:t>
            </w:r>
            <w:r w:rsidRPr="002F37F4">
              <w:t>modèle corpusculaire de la lumière</w:t>
            </w:r>
            <w:r>
              <w:t xml:space="preserve"> pour i</w:t>
            </w:r>
            <w:r w:rsidRPr="002F37F4">
              <w:t>nterpréter les échanges d'énergie entre lumière et matière</w:t>
            </w:r>
            <w:r>
              <w:t xml:space="preserve"> et interpréter un spectre de raies à partir de données</w:t>
            </w:r>
            <w:r w:rsidRPr="002F37F4">
              <w:t xml:space="preserve">. </w:t>
            </w:r>
          </w:p>
        </w:tc>
      </w:tr>
      <w:tr w:rsidR="000471A0" w:rsidRPr="002F37F4" w14:paraId="783F5560" w14:textId="77777777" w:rsidTr="008F354C">
        <w:tc>
          <w:tcPr>
            <w:tcW w:w="9747" w:type="dxa"/>
          </w:tcPr>
          <w:p w14:paraId="221AC68A" w14:textId="7FC616F4" w:rsidR="000471A0" w:rsidRPr="002F37F4" w:rsidRDefault="000471A0" w:rsidP="00D040B6">
            <w:pPr>
              <w:spacing w:before="60"/>
              <w:jc w:val="both"/>
            </w:pPr>
            <w:r w:rsidRPr="00B83088">
              <w:rPr>
                <w:color w:val="FF0000"/>
                <w:u w:val="single"/>
              </w:rPr>
              <w:t>Conseils</w:t>
            </w:r>
            <w:r w:rsidRPr="00B83088">
              <w:rPr>
                <w:color w:val="FF0000"/>
              </w:rPr>
              <w:t> :</w:t>
            </w:r>
            <w:r w:rsidR="0008090D" w:rsidRPr="00B83088">
              <w:rPr>
                <w:color w:val="FF0000"/>
              </w:rPr>
              <w:t xml:space="preserve"> partir de situations expérimentales (expérience de cours ou de vidéos) ou d’exploitation de simulations pour </w:t>
            </w:r>
            <w:r w:rsidR="00D02DB6" w:rsidRPr="00B83088">
              <w:rPr>
                <w:color w:val="FF0000"/>
              </w:rPr>
              <w:t xml:space="preserve">expliciter ou </w:t>
            </w:r>
            <w:r w:rsidR="0008090D" w:rsidRPr="00B83088">
              <w:rPr>
                <w:color w:val="FF0000"/>
              </w:rPr>
              <w:t>réinvestir les notions du programme</w:t>
            </w:r>
            <w:r w:rsidR="003558B6" w:rsidRPr="00B83088">
              <w:rPr>
                <w:color w:val="FF0000"/>
              </w:rPr>
              <w:t>.</w:t>
            </w:r>
          </w:p>
        </w:tc>
      </w:tr>
    </w:tbl>
    <w:p w14:paraId="7815C281" w14:textId="77777777" w:rsidR="005C5156" w:rsidRDefault="005C5156" w:rsidP="005C5156">
      <w:pPr>
        <w:pStyle w:val="Titre3"/>
        <w:numPr>
          <w:ilvl w:val="0"/>
          <w:numId w:val="0"/>
        </w:numPr>
        <w:ind w:left="1080"/>
      </w:pPr>
    </w:p>
    <w:p w14:paraId="13A0FC34" w14:textId="36B13C82" w:rsidR="00F81251" w:rsidRPr="00772905" w:rsidRDefault="00F81251" w:rsidP="005C5156">
      <w:pPr>
        <w:pStyle w:val="Titre1"/>
        <w:rPr>
          <w:sz w:val="28"/>
        </w:rPr>
      </w:pPr>
      <w:bookmarkStart w:id="2" w:name="_Toc40526792"/>
      <w:r w:rsidRPr="00772905">
        <w:t>Sciences physiques et chimiques en laboratoire</w:t>
      </w:r>
      <w:bookmarkEnd w:id="2"/>
    </w:p>
    <w:p w14:paraId="58462FCC" w14:textId="77777777" w:rsidR="00801368" w:rsidRPr="005A61C7" w:rsidDel="00512EFE" w:rsidRDefault="00801368" w:rsidP="00801368">
      <w:pPr>
        <w:jc w:val="both"/>
      </w:pPr>
      <w:r w:rsidRPr="005A61C7" w:rsidDel="00512EFE">
        <w:t>Les repères donnés ci-dessous ont une valeur indicative et visent simplement à aider le professeur à identifier les capacités clés qu’il peut choisir de travailler</w:t>
      </w:r>
      <w:r>
        <w:t xml:space="preserve"> ou d’approfondir </w:t>
      </w:r>
      <w:r w:rsidRPr="005A61C7" w:rsidDel="00512EFE">
        <w:t xml:space="preserve">durant la période de reprise. </w:t>
      </w:r>
    </w:p>
    <w:p w14:paraId="17A486E5" w14:textId="77777777" w:rsidR="00801368" w:rsidRPr="005A61C7" w:rsidRDefault="00801368" w:rsidP="00801368">
      <w:pPr>
        <w:jc w:val="both"/>
      </w:pPr>
      <w:r w:rsidRPr="005A61C7">
        <w:lastRenderedPageBreak/>
        <w:t xml:space="preserve">Pendant cette courte période de reprise, il est d’abord nécessaire de rassurer et de réengager progressivement les élèves dans les apprentissages. Ainsi il est possible de reprendre les notions abordées juste avant la période de confinement et de réinvestir ce qui pourra </w:t>
      </w:r>
      <w:r>
        <w:t>éventuellement</w:t>
      </w:r>
      <w:r w:rsidRPr="005A61C7">
        <w:t xml:space="preserve"> avoir été fait lors de la période de confinement</w:t>
      </w:r>
      <w:r>
        <w:t xml:space="preserve"> afin de stabiliser ces apprentissages</w:t>
      </w:r>
      <w:r w:rsidRPr="005A61C7">
        <w:t xml:space="preserve">. </w:t>
      </w:r>
    </w:p>
    <w:p w14:paraId="1DD7B43E" w14:textId="77777777" w:rsidR="00801368" w:rsidRPr="005A61C7" w:rsidRDefault="00801368" w:rsidP="00801368">
      <w:pPr>
        <w:jc w:val="both"/>
      </w:pPr>
      <w:r w:rsidRPr="005A61C7">
        <w:t xml:space="preserve">À l’issue et en complément de ce temps de réinstallation dans les apprentissages, l’objectif est d’accompagner au mieux les élèves avec </w:t>
      </w:r>
      <w:r>
        <w:t>l’</w:t>
      </w:r>
      <w:r w:rsidRPr="005A61C7">
        <w:t xml:space="preserve">objectif de préparer </w:t>
      </w:r>
      <w:r>
        <w:t xml:space="preserve">une rentrée dans les meilleures conditions possibles en classe de terminale STL. </w:t>
      </w:r>
      <w:r w:rsidRPr="005A61C7">
        <w:t>Dans cette logique, des capacités du programme</w:t>
      </w:r>
      <w:r>
        <w:t xml:space="preserve"> et les notions associées</w:t>
      </w:r>
      <w:r w:rsidRPr="005A61C7">
        <w:t xml:space="preserve"> ont été identifiées pour mettre œuvre cette démarche pédagogique. Toutes </w:t>
      </w:r>
      <w:r>
        <w:t xml:space="preserve">ces </w:t>
      </w:r>
      <w:r w:rsidRPr="005A61C7">
        <w:t>capacités ne sont pas à travailler sur la fin de l’année, les choix effectués par les équipes pédagogiques dépendent naturellement de ce qui a déjà été traité en amont et des conditions de la continuité pédagogique pendant la période de confinement </w:t>
      </w:r>
      <w:r w:rsidRPr="0002214B">
        <w:rPr>
          <w:b/>
        </w:rPr>
        <w:t xml:space="preserve">: </w:t>
      </w:r>
      <w:r>
        <w:rPr>
          <w:b/>
        </w:rPr>
        <w:t xml:space="preserve">pour chaque thème, </w:t>
      </w:r>
      <w:r w:rsidRPr="0002214B">
        <w:rPr>
          <w:b/>
        </w:rPr>
        <w:t xml:space="preserve">choisir </w:t>
      </w:r>
      <w:r>
        <w:rPr>
          <w:b/>
        </w:rPr>
        <w:t xml:space="preserve">parmi les capacités proposées </w:t>
      </w:r>
      <w:r w:rsidRPr="0002214B">
        <w:rPr>
          <w:b/>
        </w:rPr>
        <w:t>soit</w:t>
      </w:r>
      <w:r>
        <w:rPr>
          <w:b/>
        </w:rPr>
        <w:t xml:space="preserve"> celles</w:t>
      </w:r>
      <w:r w:rsidRPr="0002214B">
        <w:rPr>
          <w:b/>
        </w:rPr>
        <w:t xml:space="preserve"> qui </w:t>
      </w:r>
      <w:r>
        <w:rPr>
          <w:b/>
        </w:rPr>
        <w:t xml:space="preserve">ont été peu </w:t>
      </w:r>
      <w:r w:rsidRPr="0002214B">
        <w:rPr>
          <w:b/>
        </w:rPr>
        <w:t>abordé</w:t>
      </w:r>
      <w:r>
        <w:rPr>
          <w:b/>
        </w:rPr>
        <w:t>es,</w:t>
      </w:r>
      <w:r w:rsidRPr="0002214B">
        <w:rPr>
          <w:b/>
        </w:rPr>
        <w:t xml:space="preserve"> soit </w:t>
      </w:r>
      <w:r>
        <w:rPr>
          <w:b/>
        </w:rPr>
        <w:t xml:space="preserve">celles </w:t>
      </w:r>
      <w:r w:rsidRPr="0002214B">
        <w:rPr>
          <w:b/>
        </w:rPr>
        <w:t xml:space="preserve">qui </w:t>
      </w:r>
      <w:r>
        <w:rPr>
          <w:b/>
        </w:rPr>
        <w:t>méritent d’être approfondies.</w:t>
      </w:r>
    </w:p>
    <w:p w14:paraId="772A7913" w14:textId="5F12E734" w:rsidR="00801368" w:rsidRPr="005A61C7" w:rsidRDefault="00801368" w:rsidP="00801368">
      <w:pPr>
        <w:jc w:val="both"/>
      </w:pPr>
      <w:r>
        <w:t>L</w:t>
      </w:r>
      <w:r w:rsidRPr="005A61C7">
        <w:t>a formation aux compétences expérimentales</w:t>
      </w:r>
      <w:r>
        <w:t xml:space="preserve"> est centrale dans ce programme, mais </w:t>
      </w:r>
      <w:r w:rsidRPr="00E314DA">
        <w:t xml:space="preserve">compte tenu des contraintes sanitaires, il est </w:t>
      </w:r>
      <w:r>
        <w:t xml:space="preserve">préférable de s’appuyer </w:t>
      </w:r>
      <w:r w:rsidRPr="00E314DA">
        <w:t xml:space="preserve">sur des expériences conduites par le professeur, des vidéos et des simulations </w:t>
      </w:r>
      <w:r w:rsidRPr="005A61C7">
        <w:t>pour travailler la c</w:t>
      </w:r>
      <w:r>
        <w:t>ompréhension</w:t>
      </w:r>
      <w:r w:rsidRPr="005A61C7">
        <w:t xml:space="preserve"> et l’analyse de protocoles et l’exploitation des données expérimentales.</w:t>
      </w:r>
    </w:p>
    <w:p w14:paraId="3373C3D7" w14:textId="77777777" w:rsidR="00801368" w:rsidRPr="005A61C7" w:rsidRDefault="00801368" w:rsidP="00801368">
      <w:pPr>
        <w:jc w:val="both"/>
      </w:pPr>
      <w:r w:rsidRPr="005A61C7">
        <w:t xml:space="preserve">Concernant la démarche de projet, </w:t>
      </w:r>
      <w:r>
        <w:t xml:space="preserve">si </w:t>
      </w:r>
      <w:r w:rsidRPr="00E67652">
        <w:t>des mini-projets ont été travaillés avant</w:t>
      </w:r>
      <w:r>
        <w:t xml:space="preserve"> la période de confinement, il reste important</w:t>
      </w:r>
      <w:r w:rsidRPr="005A61C7">
        <w:t xml:space="preserve"> de valoriser ce travail </w:t>
      </w:r>
      <w:r>
        <w:t>mené par l</w:t>
      </w:r>
      <w:r w:rsidRPr="005A61C7">
        <w:t>es élèves. Un travail de synthèse avec des perspectives de poursuite d</w:t>
      </w:r>
      <w:r>
        <w:t>u</w:t>
      </w:r>
      <w:r w:rsidRPr="005A61C7">
        <w:t xml:space="preserve"> travail peut être conduit </w:t>
      </w:r>
      <w:r>
        <w:t>pour préparer les élèves au projet qu’ils mèneront en classe de terminale</w:t>
      </w:r>
      <w:r w:rsidRPr="005A61C7">
        <w:t>.</w:t>
      </w:r>
    </w:p>
    <w:tbl>
      <w:tblPr>
        <w:tblStyle w:val="Grilledutableau"/>
        <w:tblW w:w="9889" w:type="dxa"/>
        <w:tblLook w:val="04A0" w:firstRow="1" w:lastRow="0" w:firstColumn="1" w:lastColumn="0" w:noHBand="0" w:noVBand="1"/>
      </w:tblPr>
      <w:tblGrid>
        <w:gridCol w:w="9889"/>
      </w:tblGrid>
      <w:tr w:rsidR="00801368" w:rsidRPr="005C5156" w14:paraId="0461A40E" w14:textId="77777777" w:rsidTr="00781B83">
        <w:tc>
          <w:tcPr>
            <w:tcW w:w="9889" w:type="dxa"/>
          </w:tcPr>
          <w:p w14:paraId="7B2CE532" w14:textId="77777777" w:rsidR="00801368" w:rsidRPr="005C5156" w:rsidRDefault="00801368" w:rsidP="005C5156">
            <w:pPr>
              <w:rPr>
                <w:b/>
              </w:rPr>
            </w:pPr>
            <w:r w:rsidRPr="005C5156">
              <w:rPr>
                <w:b/>
              </w:rPr>
              <w:t>Chimie et développement durable</w:t>
            </w:r>
            <w:r w:rsidRPr="005C5156" w:rsidDel="005605D4">
              <w:rPr>
                <w:b/>
              </w:rPr>
              <w:t xml:space="preserve"> </w:t>
            </w:r>
          </w:p>
        </w:tc>
      </w:tr>
      <w:tr w:rsidR="00801368" w:rsidRPr="002F37F4" w14:paraId="0426E029" w14:textId="77777777" w:rsidTr="00781B83">
        <w:tc>
          <w:tcPr>
            <w:tcW w:w="9889" w:type="dxa"/>
            <w:tcBorders>
              <w:bottom w:val="single" w:sz="4" w:space="0" w:color="auto"/>
            </w:tcBorders>
          </w:tcPr>
          <w:p w14:paraId="30DF6E5A" w14:textId="77777777" w:rsidR="00801368" w:rsidRDefault="00801368" w:rsidP="00801368">
            <w:pPr>
              <w:pStyle w:val="Paragraphedeliste"/>
              <w:numPr>
                <w:ilvl w:val="0"/>
                <w:numId w:val="15"/>
              </w:numPr>
              <w:spacing w:before="60" w:after="60"/>
            </w:pPr>
            <w:r>
              <w:t>Déterminer et justifier le type d’une réaction (substitution, addition, élimination ou acide-base) à partir de l’examen de la structure des réactifs et des produits.</w:t>
            </w:r>
          </w:p>
          <w:p w14:paraId="06992E31" w14:textId="77777777" w:rsidR="00801368" w:rsidRDefault="00801368" w:rsidP="00801368">
            <w:pPr>
              <w:pStyle w:val="Paragraphedeliste"/>
              <w:numPr>
                <w:ilvl w:val="0"/>
                <w:numId w:val="15"/>
              </w:numPr>
              <w:spacing w:before="60" w:after="60"/>
              <w:jc w:val="both"/>
            </w:pPr>
            <w:r>
              <w:t xml:space="preserve">Analyser un mécanisme réactionnel et écrire la réaction modélisant une transformation. </w:t>
            </w:r>
          </w:p>
          <w:p w14:paraId="3D8DC9D2" w14:textId="77777777" w:rsidR="00801368" w:rsidRDefault="00801368" w:rsidP="00801368">
            <w:pPr>
              <w:pStyle w:val="Paragraphedeliste"/>
              <w:numPr>
                <w:ilvl w:val="0"/>
                <w:numId w:val="15"/>
              </w:numPr>
              <w:spacing w:before="60" w:after="60"/>
              <w:jc w:val="both"/>
            </w:pPr>
            <w:r>
              <w:t xml:space="preserve">Analyser un protocole expérimental permettant d’extraire, séparer ou purifier des espèces chimiques et justifier le choix du matériel et du solvant. </w:t>
            </w:r>
          </w:p>
          <w:p w14:paraId="038443BA" w14:textId="77777777" w:rsidR="00801368" w:rsidRPr="00D87B61" w:rsidRDefault="00801368" w:rsidP="00801368">
            <w:pPr>
              <w:pStyle w:val="Paragraphedeliste"/>
              <w:numPr>
                <w:ilvl w:val="0"/>
                <w:numId w:val="15"/>
              </w:numPr>
              <w:spacing w:before="60" w:after="60"/>
              <w:jc w:val="both"/>
            </w:pPr>
            <w:r>
              <w:t>Exploiter des résultats expérimentaux d’une synthèse pour identifier le réactif limitant et calculer le rendement. Commenter la pureté d’un produit.</w:t>
            </w:r>
          </w:p>
        </w:tc>
      </w:tr>
      <w:tr w:rsidR="00801368" w:rsidRPr="002F37F4" w14:paraId="28D529CA" w14:textId="77777777" w:rsidTr="00781B83">
        <w:tc>
          <w:tcPr>
            <w:tcW w:w="9889" w:type="dxa"/>
            <w:tcBorders>
              <w:top w:val="single" w:sz="4" w:space="0" w:color="auto"/>
              <w:bottom w:val="single" w:sz="4" w:space="0" w:color="auto"/>
            </w:tcBorders>
          </w:tcPr>
          <w:p w14:paraId="6272311A" w14:textId="77777777" w:rsidR="00801368" w:rsidRDefault="00801368" w:rsidP="00801368">
            <w:pPr>
              <w:pStyle w:val="Paragraphedeliste"/>
              <w:numPr>
                <w:ilvl w:val="0"/>
                <w:numId w:val="15"/>
              </w:numPr>
              <w:spacing w:before="60" w:after="60"/>
              <w:jc w:val="both"/>
            </w:pPr>
            <w:r>
              <w:t>En exploitant des données de référence et des résultats expérimentaux de dosages par étalonnage spectrophotométrique, justifier le choix de la longueur d’onde et déterminer la valeur d’une concentration d’une solution inconnue.</w:t>
            </w:r>
          </w:p>
          <w:p w14:paraId="51D292BA" w14:textId="77777777" w:rsidR="00801368" w:rsidRDefault="00801368" w:rsidP="00801368">
            <w:pPr>
              <w:pStyle w:val="Paragraphedeliste"/>
              <w:numPr>
                <w:ilvl w:val="0"/>
                <w:numId w:val="15"/>
              </w:numPr>
              <w:spacing w:before="60" w:after="60"/>
              <w:jc w:val="both"/>
            </w:pPr>
            <w:r>
              <w:t xml:space="preserve">Exploiter des résultats expérimentaux d’un titrage pH-métrique et par changement de couleur pour identifier l’équivalence, déterminer la valeur de la concentration d’une solution inconnue et estimer une valeur approchée de </w:t>
            </w:r>
            <w:proofErr w:type="spellStart"/>
            <w:r>
              <w:t>pKa</w:t>
            </w:r>
            <w:proofErr w:type="spellEnd"/>
            <w:r>
              <w:t>.</w:t>
            </w:r>
          </w:p>
          <w:p w14:paraId="1653D312" w14:textId="77777777" w:rsidR="00801368" w:rsidRPr="000F77AD" w:rsidRDefault="00801368" w:rsidP="00801368">
            <w:pPr>
              <w:pStyle w:val="Paragraphedeliste"/>
              <w:numPr>
                <w:ilvl w:val="0"/>
                <w:numId w:val="15"/>
              </w:numPr>
              <w:spacing w:before="60" w:after="60"/>
              <w:jc w:val="both"/>
            </w:pPr>
            <w:r>
              <w:t>Utiliser des banques de données pour exploiter des spectres UV-visible, caractériser une espèce chimique, choisir une longueur d’onde d’analyse quantitative ou pour identifier ou confirmer des structures par analyse d’un spectre IR.</w:t>
            </w:r>
          </w:p>
        </w:tc>
      </w:tr>
      <w:tr w:rsidR="00801368" w:rsidRPr="002F37F4" w14:paraId="63528F07" w14:textId="77777777" w:rsidTr="00781B83">
        <w:tc>
          <w:tcPr>
            <w:tcW w:w="9889" w:type="dxa"/>
            <w:tcBorders>
              <w:top w:val="single" w:sz="4" w:space="0" w:color="auto"/>
            </w:tcBorders>
          </w:tcPr>
          <w:p w14:paraId="14B0F278" w14:textId="77777777" w:rsidR="00801368" w:rsidRPr="002F37F4" w:rsidRDefault="00801368" w:rsidP="00781B83">
            <w:pPr>
              <w:spacing w:before="60" w:after="60"/>
            </w:pPr>
            <w:r w:rsidRPr="00801368">
              <w:rPr>
                <w:color w:val="FF0000"/>
                <w:u w:val="single"/>
              </w:rPr>
              <w:t>Conseils</w:t>
            </w:r>
            <w:r w:rsidRPr="00801368">
              <w:rPr>
                <w:color w:val="FF0000"/>
              </w:rPr>
              <w:t xml:space="preserve"> : l’objectif est d’exploiter des résultats expérimentaux ou des données pour travailler les capacités identifiées et réinvestir les notions associées. Ainsi l’analyse de mécanismes réactionnels permet de réinvestir les mouvements de doublets d’électrons et les notions de sites électrophiles et nucléophiles. </w:t>
            </w:r>
          </w:p>
        </w:tc>
      </w:tr>
    </w:tbl>
    <w:p w14:paraId="7145EA8A" w14:textId="77777777" w:rsidR="00801368" w:rsidRPr="00A52DB6" w:rsidRDefault="00801368" w:rsidP="00801368">
      <w:pPr>
        <w:rPr>
          <w:lang w:eastAsia="fr-FR"/>
        </w:rPr>
      </w:pPr>
    </w:p>
    <w:tbl>
      <w:tblPr>
        <w:tblStyle w:val="Grilledutableau"/>
        <w:tblW w:w="0" w:type="auto"/>
        <w:tblLook w:val="04A0" w:firstRow="1" w:lastRow="0" w:firstColumn="1" w:lastColumn="0" w:noHBand="0" w:noVBand="1"/>
      </w:tblPr>
      <w:tblGrid>
        <w:gridCol w:w="9855"/>
      </w:tblGrid>
      <w:tr w:rsidR="00801368" w:rsidRPr="005C5156" w14:paraId="16444DDC" w14:textId="77777777" w:rsidTr="00781B83">
        <w:tc>
          <w:tcPr>
            <w:tcW w:w="9855" w:type="dxa"/>
            <w:tcBorders>
              <w:bottom w:val="single" w:sz="4" w:space="0" w:color="auto"/>
            </w:tcBorders>
          </w:tcPr>
          <w:p w14:paraId="224398A9" w14:textId="77777777" w:rsidR="00801368" w:rsidRPr="005C5156" w:rsidRDefault="00801368" w:rsidP="005C5156">
            <w:pPr>
              <w:rPr>
                <w:b/>
              </w:rPr>
            </w:pPr>
            <w:r w:rsidRPr="005C5156">
              <w:rPr>
                <w:b/>
              </w:rPr>
              <w:t>Image</w:t>
            </w:r>
          </w:p>
        </w:tc>
      </w:tr>
      <w:tr w:rsidR="00801368" w:rsidRPr="002F37F4" w14:paraId="22657E63" w14:textId="77777777" w:rsidTr="00801368">
        <w:trPr>
          <w:trHeight w:val="283"/>
        </w:trPr>
        <w:tc>
          <w:tcPr>
            <w:tcW w:w="9855" w:type="dxa"/>
            <w:tcBorders>
              <w:top w:val="nil"/>
            </w:tcBorders>
          </w:tcPr>
          <w:p w14:paraId="4C32A7E2" w14:textId="77777777" w:rsidR="00801368" w:rsidRPr="001606BB" w:rsidRDefault="00801368" w:rsidP="00801368">
            <w:pPr>
              <w:pStyle w:val="Paragraphedeliste"/>
              <w:numPr>
                <w:ilvl w:val="0"/>
                <w:numId w:val="16"/>
              </w:numPr>
              <w:spacing w:before="60" w:after="60"/>
              <w:jc w:val="both"/>
            </w:pPr>
            <w:r w:rsidRPr="001606BB">
              <w:t>Décrire et exploiter un modèle optique simplifié de l’œil et expliquer la myopie et l’hypermétropie.</w:t>
            </w:r>
          </w:p>
          <w:p w14:paraId="76418FB2" w14:textId="4E5F6B7B" w:rsidR="00801368" w:rsidRPr="00801368" w:rsidRDefault="00801368" w:rsidP="00801368">
            <w:pPr>
              <w:pStyle w:val="Paragraphedeliste"/>
              <w:numPr>
                <w:ilvl w:val="0"/>
                <w:numId w:val="16"/>
              </w:numPr>
              <w:spacing w:before="60" w:after="60"/>
              <w:jc w:val="both"/>
              <w:rPr>
                <w:strike/>
              </w:rPr>
            </w:pPr>
            <w:r w:rsidRPr="001606BB">
              <w:lastRenderedPageBreak/>
              <w:t>Interpréter et prévoir la couleur perçue d’un objet éclairé en lumière blanche ou éclairé par un faisceau lumineux coloré.</w:t>
            </w:r>
          </w:p>
          <w:p w14:paraId="245F9D8F" w14:textId="77777777" w:rsidR="00801368" w:rsidRPr="00801368" w:rsidRDefault="00801368" w:rsidP="00801368">
            <w:pPr>
              <w:pStyle w:val="Paragraphedeliste"/>
              <w:numPr>
                <w:ilvl w:val="0"/>
                <w:numId w:val="16"/>
              </w:numPr>
              <w:spacing w:before="60" w:after="60"/>
              <w:jc w:val="both"/>
            </w:pPr>
            <w:r w:rsidRPr="001606BB">
              <w:t>Exploiter et justifier les résultats expérimentaux obtenus lors d’une projection optique : position et taille de l’image.</w:t>
            </w:r>
          </w:p>
          <w:p w14:paraId="032C32D2" w14:textId="77777777" w:rsidR="00801368" w:rsidRPr="001606BB" w:rsidRDefault="00801368" w:rsidP="00801368">
            <w:pPr>
              <w:pStyle w:val="Paragraphedeliste"/>
              <w:numPr>
                <w:ilvl w:val="0"/>
                <w:numId w:val="16"/>
              </w:numPr>
              <w:spacing w:before="60" w:after="60"/>
              <w:jc w:val="both"/>
            </w:pPr>
            <w:r w:rsidRPr="001606BB">
              <w:t xml:space="preserve">Exploiter des résultats expérimentaux pour déterminer la distance focale d’une lentille mince. </w:t>
            </w:r>
          </w:p>
          <w:p w14:paraId="51A65AC9" w14:textId="77777777" w:rsidR="00801368" w:rsidRDefault="00801368" w:rsidP="00801368">
            <w:pPr>
              <w:pStyle w:val="Paragraphedeliste"/>
              <w:numPr>
                <w:ilvl w:val="0"/>
                <w:numId w:val="16"/>
              </w:numPr>
              <w:spacing w:before="60" w:after="60"/>
              <w:jc w:val="both"/>
            </w:pPr>
            <w:r w:rsidRPr="001606BB">
              <w:t>Exploiter des résultats expérimentaux et des simulations pour identifier des grandeurs qui contrôlent la profondeur de champ d’un appareil photographique numérique.</w:t>
            </w:r>
          </w:p>
          <w:p w14:paraId="75F5A936" w14:textId="77777777" w:rsidR="00801368" w:rsidRPr="001606BB" w:rsidRDefault="00801368" w:rsidP="00781B83">
            <w:pPr>
              <w:pStyle w:val="Paragraphedeliste"/>
              <w:spacing w:before="60" w:after="60"/>
              <w:jc w:val="both"/>
            </w:pPr>
            <w:r w:rsidRPr="001606BB">
              <w:t xml:space="preserve"> </w:t>
            </w:r>
          </w:p>
          <w:p w14:paraId="6C696571" w14:textId="77777777" w:rsidR="00801368" w:rsidRPr="001606BB" w:rsidRDefault="00801368" w:rsidP="00801368">
            <w:pPr>
              <w:pStyle w:val="Paragraphedeliste"/>
              <w:numPr>
                <w:ilvl w:val="0"/>
                <w:numId w:val="16"/>
              </w:numPr>
              <w:spacing w:before="60" w:after="60"/>
              <w:jc w:val="both"/>
            </w:pPr>
            <w:r w:rsidRPr="001606BB">
              <w:t>Évaluer la taille d’une image en octets et le temps de transmission en fonction du débit binaire</w:t>
            </w:r>
            <w:r w:rsidRPr="00E67652">
              <w:t>.</w:t>
            </w:r>
          </w:p>
        </w:tc>
      </w:tr>
      <w:tr w:rsidR="00801368" w:rsidRPr="002F37F4" w14:paraId="001E4634" w14:textId="77777777" w:rsidTr="00781B83">
        <w:tc>
          <w:tcPr>
            <w:tcW w:w="9855" w:type="dxa"/>
          </w:tcPr>
          <w:p w14:paraId="2AAE69D1" w14:textId="77777777" w:rsidR="00801368" w:rsidRPr="001606BB" w:rsidRDefault="00801368" w:rsidP="00781B83">
            <w:pPr>
              <w:spacing w:before="60" w:after="60"/>
              <w:jc w:val="both"/>
            </w:pPr>
            <w:r w:rsidRPr="00801368">
              <w:rPr>
                <w:color w:val="FF0000"/>
                <w:u w:val="single"/>
              </w:rPr>
              <w:lastRenderedPageBreak/>
              <w:t>Conseils</w:t>
            </w:r>
            <w:r w:rsidRPr="00801368">
              <w:rPr>
                <w:color w:val="FF0000"/>
              </w:rPr>
              <w:t xml:space="preserve"> : l’approche première reste expérimentale, ces notions permettent l’analyse et l’exploitation de résultats expérimentaux qu’ils soient issus d’expériences de cours, de vidéos ou fournis directement aux élèves. L’objectif est de confronter ces résultats aux modèles simples associés aux phénomènes étudiés. L’exploitation de ces résultats expérimentaux permet de réinvestir la construction de rayons lumineux et l’utilisation des formules de conjugaison. </w:t>
            </w:r>
          </w:p>
        </w:tc>
      </w:tr>
    </w:tbl>
    <w:p w14:paraId="2477F31D" w14:textId="77777777" w:rsidR="00801368" w:rsidRPr="005F66DD" w:rsidRDefault="00801368" w:rsidP="00801368">
      <w:pPr>
        <w:jc w:val="both"/>
        <w:rPr>
          <w:lang w:eastAsia="fr-FR"/>
        </w:rPr>
      </w:pPr>
    </w:p>
    <w:tbl>
      <w:tblPr>
        <w:tblStyle w:val="Grilledutableau"/>
        <w:tblW w:w="9889" w:type="dxa"/>
        <w:tblLook w:val="04A0" w:firstRow="1" w:lastRow="0" w:firstColumn="1" w:lastColumn="0" w:noHBand="0" w:noVBand="1"/>
      </w:tblPr>
      <w:tblGrid>
        <w:gridCol w:w="9889"/>
      </w:tblGrid>
      <w:tr w:rsidR="00801368" w:rsidRPr="005C5156" w14:paraId="7661D139" w14:textId="77777777" w:rsidTr="00781B83">
        <w:tc>
          <w:tcPr>
            <w:tcW w:w="9889" w:type="dxa"/>
            <w:tcBorders>
              <w:bottom w:val="single" w:sz="4" w:space="0" w:color="auto"/>
            </w:tcBorders>
          </w:tcPr>
          <w:p w14:paraId="28B6582F" w14:textId="77777777" w:rsidR="00801368" w:rsidRPr="005C5156" w:rsidRDefault="00801368" w:rsidP="005C5156">
            <w:pPr>
              <w:rPr>
                <w:b/>
              </w:rPr>
            </w:pPr>
            <w:r w:rsidRPr="005C5156">
              <w:rPr>
                <w:b/>
              </w:rPr>
              <w:t>Instrumentation</w:t>
            </w:r>
          </w:p>
        </w:tc>
      </w:tr>
      <w:tr w:rsidR="00801368" w:rsidRPr="002F37F4" w14:paraId="3EBA1B21" w14:textId="77777777" w:rsidTr="00781B83">
        <w:tc>
          <w:tcPr>
            <w:tcW w:w="9889" w:type="dxa"/>
            <w:tcBorders>
              <w:top w:val="nil"/>
              <w:bottom w:val="nil"/>
            </w:tcBorders>
          </w:tcPr>
          <w:p w14:paraId="0724B6A2" w14:textId="77777777" w:rsidR="00801368" w:rsidRDefault="00801368" w:rsidP="00801368">
            <w:pPr>
              <w:pStyle w:val="Paragraphedeliste"/>
              <w:numPr>
                <w:ilvl w:val="0"/>
                <w:numId w:val="17"/>
              </w:numPr>
              <w:spacing w:before="60" w:after="60"/>
              <w:jc w:val="both"/>
            </w:pPr>
            <w:r w:rsidRPr="00E14062">
              <w:t>Choisir un instrument de mesure adapté en fonction de ses caractéristiques</w:t>
            </w:r>
            <w:r>
              <w:t xml:space="preserve">. </w:t>
            </w:r>
          </w:p>
          <w:p w14:paraId="250A7C8A" w14:textId="267F0B5E" w:rsidR="00801368" w:rsidRPr="00324FE1" w:rsidRDefault="00801368" w:rsidP="00801368">
            <w:pPr>
              <w:pStyle w:val="Paragraphedeliste"/>
              <w:numPr>
                <w:ilvl w:val="0"/>
                <w:numId w:val="17"/>
              </w:numPr>
              <w:spacing w:before="60" w:after="60"/>
              <w:jc w:val="both"/>
            </w:pPr>
            <w:r w:rsidRPr="00324FE1">
              <w:t xml:space="preserve">Identifier les grandeurs d’entrée et de sortie du capteur et du conditionneur. </w:t>
            </w:r>
          </w:p>
          <w:p w14:paraId="1E58922D" w14:textId="77777777" w:rsidR="00801368" w:rsidRPr="00324FE1" w:rsidRDefault="00801368" w:rsidP="00801368">
            <w:pPr>
              <w:pStyle w:val="Paragraphedeliste"/>
              <w:numPr>
                <w:ilvl w:val="0"/>
                <w:numId w:val="17"/>
              </w:numPr>
              <w:spacing w:before="60" w:after="60"/>
              <w:jc w:val="both"/>
            </w:pPr>
            <w:r>
              <w:t>Exploiter le schéma d’un conditionneur d’un capteur résistif</w:t>
            </w:r>
            <w:r w:rsidRPr="00324FE1">
              <w:t xml:space="preserve"> </w:t>
            </w:r>
            <w:r>
              <w:t>pour en expliquer le fonctionnement ou l’améliorer.</w:t>
            </w:r>
          </w:p>
          <w:p w14:paraId="46EC8C3C" w14:textId="77777777" w:rsidR="00801368" w:rsidRDefault="00801368" w:rsidP="00801368">
            <w:pPr>
              <w:pStyle w:val="Paragraphedeliste"/>
              <w:numPr>
                <w:ilvl w:val="0"/>
                <w:numId w:val="17"/>
              </w:numPr>
              <w:spacing w:before="60" w:after="60"/>
              <w:jc w:val="both"/>
            </w:pPr>
            <w:r w:rsidRPr="00324FE1">
              <w:t xml:space="preserve">Exploiter des résultats expérimentaux </w:t>
            </w:r>
            <w:r>
              <w:t>pour</w:t>
            </w:r>
            <w:r w:rsidRPr="00324FE1">
              <w:t xml:space="preserve"> </w:t>
            </w:r>
            <w:r>
              <w:t>t</w:t>
            </w:r>
            <w:r w:rsidRPr="00324FE1">
              <w:t>racer une caractéristique de transfert d’un capteur, ou d’u</w:t>
            </w:r>
            <w:r>
              <w:t>n ensemble capteur conditionneur et pour</w:t>
            </w:r>
            <w:r w:rsidRPr="00324FE1">
              <w:t xml:space="preserve"> déterminer le</w:t>
            </w:r>
            <w:r>
              <w:t xml:space="preserve"> temps de réponse du capteur</w:t>
            </w:r>
            <w:r w:rsidRPr="00324FE1">
              <w:t>.</w:t>
            </w:r>
          </w:p>
          <w:p w14:paraId="7BCCA300" w14:textId="77777777" w:rsidR="00801368" w:rsidRPr="00324FE1" w:rsidRDefault="00801368" w:rsidP="00801368">
            <w:pPr>
              <w:pStyle w:val="Paragraphedeliste"/>
              <w:numPr>
                <w:ilvl w:val="0"/>
                <w:numId w:val="17"/>
              </w:numPr>
              <w:spacing w:before="60" w:after="60"/>
              <w:jc w:val="both"/>
            </w:pPr>
            <w:r w:rsidRPr="00324FE1">
              <w:t>Exploiter des résultats expérimentaux pour</w:t>
            </w:r>
            <w:r>
              <w:t xml:space="preserve"> déterminer </w:t>
            </w:r>
            <w:r w:rsidRPr="002D43C9">
              <w:t>le quantum et la résolution d’un CAN.</w:t>
            </w:r>
          </w:p>
          <w:p w14:paraId="189ECDBB" w14:textId="77777777" w:rsidR="00801368" w:rsidRDefault="00801368" w:rsidP="00801368">
            <w:pPr>
              <w:pStyle w:val="Paragraphedeliste"/>
              <w:numPr>
                <w:ilvl w:val="0"/>
                <w:numId w:val="17"/>
              </w:numPr>
              <w:spacing w:before="60" w:after="60"/>
              <w:jc w:val="both"/>
            </w:pPr>
            <w:r>
              <w:t>Exploiter des résultats expérimentaux à l’aide une courbe d’étalonnage ou de la caractéristique de transfert d’un capteur pour obtenir la valeur de la grandeur mesurée.</w:t>
            </w:r>
            <w:r w:rsidRPr="00324FE1">
              <w:t xml:space="preserve"> </w:t>
            </w:r>
          </w:p>
          <w:p w14:paraId="74962298" w14:textId="1F473C9A" w:rsidR="00801368" w:rsidRPr="00324FE1" w:rsidRDefault="00801368" w:rsidP="00801368">
            <w:pPr>
              <w:pStyle w:val="Paragraphedeliste"/>
              <w:numPr>
                <w:ilvl w:val="0"/>
                <w:numId w:val="17"/>
              </w:numPr>
              <w:spacing w:before="60" w:after="60"/>
              <w:jc w:val="both"/>
            </w:pPr>
            <w:r w:rsidRPr="00324FE1">
              <w:t>Exploiter des résultats expérimentaux pour</w:t>
            </w:r>
            <w:r>
              <w:t xml:space="preserve"> expliquer le fonctionnement d’une chaine de mesure en tout ou rien et tracer s</w:t>
            </w:r>
            <w:r w:rsidRPr="00716627">
              <w:t>a caractéristique de transfert</w:t>
            </w:r>
            <w:r>
              <w:t>.</w:t>
            </w:r>
          </w:p>
        </w:tc>
      </w:tr>
      <w:tr w:rsidR="00801368" w:rsidRPr="002F37F4" w14:paraId="13C1B114" w14:textId="77777777" w:rsidTr="00781B83">
        <w:tc>
          <w:tcPr>
            <w:tcW w:w="9889" w:type="dxa"/>
          </w:tcPr>
          <w:p w14:paraId="6F2C5B91" w14:textId="77777777" w:rsidR="00801368" w:rsidRPr="002F37F4" w:rsidRDefault="00801368" w:rsidP="00781B83">
            <w:pPr>
              <w:spacing w:before="60" w:after="60"/>
              <w:jc w:val="both"/>
            </w:pPr>
            <w:r w:rsidRPr="00801368">
              <w:rPr>
                <w:color w:val="FF0000"/>
                <w:u w:val="single"/>
              </w:rPr>
              <w:t>Conseils</w:t>
            </w:r>
            <w:r w:rsidRPr="00801368">
              <w:rPr>
                <w:color w:val="FF0000"/>
              </w:rPr>
              <w:t> : l’approche expérimentale est à privilégier. L’exploitation de simulations, de résultats expérimentaux qu’ils soient issus d’expériences de cours, de vidéos ou fournis directement aux élèves permet de revenir sur les caractéristiques des appareils de mesure ou les systèmes de régulation simple. L’exploitation de schémas de conditionneurs résistifs permet de réinvestir les lois de l’électricité. Ces travaux permettent aussi de porter un regard critique sur les résultats de mesure obtenus.</w:t>
            </w:r>
          </w:p>
        </w:tc>
      </w:tr>
    </w:tbl>
    <w:p w14:paraId="08B31938" w14:textId="77777777" w:rsidR="00801368" w:rsidRDefault="00801368" w:rsidP="00801368">
      <w:pPr>
        <w:pStyle w:val="Paragraphedeliste"/>
        <w:ind w:left="360"/>
        <w:rPr>
          <w:b/>
          <w:color w:val="3333FF"/>
          <w:sz w:val="24"/>
          <w:szCs w:val="24"/>
        </w:rPr>
      </w:pPr>
    </w:p>
    <w:p w14:paraId="1DCC8923" w14:textId="087DE165" w:rsidR="00B83088" w:rsidRPr="00B83088" w:rsidRDefault="00B83088" w:rsidP="00B83088">
      <w:pPr>
        <w:rPr>
          <w:b/>
          <w:sz w:val="24"/>
          <w:szCs w:val="24"/>
        </w:rPr>
      </w:pPr>
    </w:p>
    <w:p w14:paraId="40F1F839" w14:textId="77777777" w:rsidR="00B83088" w:rsidRPr="002F37F4" w:rsidRDefault="00B83088" w:rsidP="00C91D8E">
      <w:pPr>
        <w:tabs>
          <w:tab w:val="left" w:pos="5655"/>
        </w:tabs>
        <w:rPr>
          <w:rFonts w:ascii="Arial" w:hAnsi="Arial" w:cs="Arial"/>
          <w:color w:val="000000" w:themeColor="text1"/>
          <w:sz w:val="24"/>
          <w:szCs w:val="24"/>
        </w:rPr>
      </w:pPr>
    </w:p>
    <w:sectPr w:rsidR="00B83088" w:rsidRPr="002F37F4" w:rsidSect="0002214B">
      <w:footerReference w:type="default" r:id="rId9"/>
      <w:pgSz w:w="11906" w:h="16838"/>
      <w:pgMar w:top="1417" w:right="1133"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5C85" w16cex:dateUtc="2020-04-26T17:01:00Z"/>
  <w16cex:commentExtensible w16cex:durableId="2250591B" w16cex:dateUtc="2020-04-26T17:01:00Z"/>
  <w16cex:commentExtensible w16cex:durableId="22505A03" w16cex:dateUtc="2020-04-26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589EA6" w16cid:durableId="22505C86"/>
  <w16cid:commentId w16cid:paraId="4BCB44DC" w16cid:durableId="22505C85"/>
  <w16cid:commentId w16cid:paraId="5FAC1938" w16cid:durableId="22505802"/>
  <w16cid:commentId w16cid:paraId="68505AF9" w16cid:durableId="2250591B"/>
  <w16cid:commentId w16cid:paraId="258E83E1" w16cid:durableId="22505A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30C8B" w14:textId="77777777" w:rsidR="003375DE" w:rsidRDefault="003375DE" w:rsidP="00ED6C8F">
      <w:pPr>
        <w:spacing w:after="0" w:line="240" w:lineRule="auto"/>
      </w:pPr>
      <w:r>
        <w:separator/>
      </w:r>
    </w:p>
  </w:endnote>
  <w:endnote w:type="continuationSeparator" w:id="0">
    <w:p w14:paraId="19F3117C" w14:textId="77777777" w:rsidR="003375DE" w:rsidRDefault="003375DE"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19095"/>
      <w:docPartObj>
        <w:docPartGallery w:val="Page Numbers (Bottom of Page)"/>
        <w:docPartUnique/>
      </w:docPartObj>
    </w:sdtPr>
    <w:sdtEndPr/>
    <w:sdtContent>
      <w:p w14:paraId="47559451" w14:textId="449B85F8" w:rsidR="00D20FDD" w:rsidRDefault="00D20FDD">
        <w:pPr>
          <w:pStyle w:val="Pieddepage"/>
          <w:jc w:val="center"/>
        </w:pPr>
        <w:r>
          <w:fldChar w:fldCharType="begin"/>
        </w:r>
        <w:r>
          <w:instrText>PAGE   \* MERGEFORMAT</w:instrText>
        </w:r>
        <w:r>
          <w:fldChar w:fldCharType="separate"/>
        </w:r>
        <w:r w:rsidR="00BD68A6">
          <w:rPr>
            <w:noProof/>
          </w:rPr>
          <w:t>1</w:t>
        </w:r>
        <w:r>
          <w:fldChar w:fldCharType="end"/>
        </w:r>
      </w:p>
    </w:sdtContent>
  </w:sdt>
  <w:p w14:paraId="0B996FD0" w14:textId="77777777" w:rsidR="00D20FDD" w:rsidRDefault="00D20F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EA6D8" w14:textId="77777777" w:rsidR="003375DE" w:rsidRDefault="003375DE" w:rsidP="00ED6C8F">
      <w:pPr>
        <w:spacing w:after="0" w:line="240" w:lineRule="auto"/>
      </w:pPr>
      <w:r>
        <w:separator/>
      </w:r>
    </w:p>
  </w:footnote>
  <w:footnote w:type="continuationSeparator" w:id="0">
    <w:p w14:paraId="66B5D7CF" w14:textId="77777777" w:rsidR="003375DE" w:rsidRDefault="003375DE" w:rsidP="00ED6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4F1836"/>
    <w:multiLevelType w:val="hybridMultilevel"/>
    <w:tmpl w:val="E780A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66706F"/>
    <w:multiLevelType w:val="hybridMultilevel"/>
    <w:tmpl w:val="9A44C3E0"/>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F10B6F"/>
    <w:multiLevelType w:val="hybridMultilevel"/>
    <w:tmpl w:val="AACA88AC"/>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AB9582C"/>
    <w:multiLevelType w:val="hybridMultilevel"/>
    <w:tmpl w:val="3B3023FE"/>
    <w:lvl w:ilvl="0" w:tplc="1AFCB2EC">
      <w:start w:val="1"/>
      <w:numFmt w:val="bullet"/>
      <w:lvlText w:val=""/>
      <w:lvlJc w:val="left"/>
      <w:pPr>
        <w:ind w:left="360" w:hanging="360"/>
      </w:pPr>
      <w:rPr>
        <w:rFonts w:ascii="Wingdings" w:hAnsi="Wingdings" w:hint="default"/>
        <w:color w:val="auto"/>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E2A5945"/>
    <w:multiLevelType w:val="hybridMultilevel"/>
    <w:tmpl w:val="E8CA4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DE0800"/>
    <w:multiLevelType w:val="hybridMultilevel"/>
    <w:tmpl w:val="F0BCDAB0"/>
    <w:lvl w:ilvl="0" w:tplc="1BA85FF6">
      <w:numFmt w:val="bullet"/>
      <w:lvlText w:val="-"/>
      <w:lvlJc w:val="left"/>
      <w:pPr>
        <w:ind w:left="720" w:hanging="360"/>
      </w:pPr>
      <w:rPr>
        <w:rFonts w:ascii="Arial" w:eastAsia="Arial" w:hAnsi="Arial" w:cs="Aria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56E3DFF"/>
    <w:multiLevelType w:val="hybridMultilevel"/>
    <w:tmpl w:val="D6505984"/>
    <w:lvl w:ilvl="0" w:tplc="88C8EFBA">
      <w:start w:val="1"/>
      <w:numFmt w:val="decimal"/>
      <w:pStyle w:val="Titre1"/>
      <w:lvlText w:val="%1."/>
      <w:lvlJc w:val="left"/>
      <w:pPr>
        <w:ind w:left="360" w:hanging="360"/>
      </w:pPr>
      <w:rPr>
        <w:rFonts w:hint="default"/>
        <w:b/>
        <w:sz w:val="24"/>
      </w:rPr>
    </w:lvl>
    <w:lvl w:ilvl="1" w:tplc="F97EF80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7E13F99"/>
    <w:multiLevelType w:val="hybridMultilevel"/>
    <w:tmpl w:val="6ED0A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105A55"/>
    <w:multiLevelType w:val="hybridMultilevel"/>
    <w:tmpl w:val="8BE8AB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D97BE7"/>
    <w:multiLevelType w:val="hybridMultilevel"/>
    <w:tmpl w:val="1BC00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003821"/>
    <w:multiLevelType w:val="hybridMultilevel"/>
    <w:tmpl w:val="09CA0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021341"/>
    <w:multiLevelType w:val="hybridMultilevel"/>
    <w:tmpl w:val="BD2A7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A235D2"/>
    <w:multiLevelType w:val="hybridMultilevel"/>
    <w:tmpl w:val="F64EA804"/>
    <w:lvl w:ilvl="0" w:tplc="28A81B3E">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EE0E5C"/>
    <w:multiLevelType w:val="hybridMultilevel"/>
    <w:tmpl w:val="339EB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962D6E"/>
    <w:multiLevelType w:val="hybridMultilevel"/>
    <w:tmpl w:val="2E96B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1"/>
  </w:num>
  <w:num w:numId="6">
    <w:abstractNumId w:val="1"/>
  </w:num>
  <w:num w:numId="7">
    <w:abstractNumId w:val="5"/>
  </w:num>
  <w:num w:numId="8">
    <w:abstractNumId w:val="16"/>
  </w:num>
  <w:num w:numId="9">
    <w:abstractNumId w:val="12"/>
  </w:num>
  <w:num w:numId="10">
    <w:abstractNumId w:val="8"/>
  </w:num>
  <w:num w:numId="11">
    <w:abstractNumId w:val="3"/>
  </w:num>
  <w:num w:numId="12">
    <w:abstractNumId w:val="14"/>
  </w:num>
  <w:num w:numId="13">
    <w:abstractNumId w:val="6"/>
  </w:num>
  <w:num w:numId="14">
    <w:abstractNumId w:val="10"/>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113A0"/>
    <w:rsid w:val="0002214B"/>
    <w:rsid w:val="0003317A"/>
    <w:rsid w:val="00041BB8"/>
    <w:rsid w:val="000471A0"/>
    <w:rsid w:val="000723E4"/>
    <w:rsid w:val="0007280A"/>
    <w:rsid w:val="0008090D"/>
    <w:rsid w:val="000832F7"/>
    <w:rsid w:val="000946F0"/>
    <w:rsid w:val="000D0172"/>
    <w:rsid w:val="001113E5"/>
    <w:rsid w:val="00126168"/>
    <w:rsid w:val="00130A57"/>
    <w:rsid w:val="0016597A"/>
    <w:rsid w:val="001912AA"/>
    <w:rsid w:val="001957AC"/>
    <w:rsid w:val="00197CB1"/>
    <w:rsid w:val="001B2E0C"/>
    <w:rsid w:val="001B5BF9"/>
    <w:rsid w:val="001C474B"/>
    <w:rsid w:val="0021736D"/>
    <w:rsid w:val="00225F85"/>
    <w:rsid w:val="0023028A"/>
    <w:rsid w:val="00257D70"/>
    <w:rsid w:val="00280755"/>
    <w:rsid w:val="0028707D"/>
    <w:rsid w:val="002C3A2C"/>
    <w:rsid w:val="002D0D10"/>
    <w:rsid w:val="002E4BA2"/>
    <w:rsid w:val="003375DE"/>
    <w:rsid w:val="0034057E"/>
    <w:rsid w:val="003558B6"/>
    <w:rsid w:val="00370D2B"/>
    <w:rsid w:val="00393B5D"/>
    <w:rsid w:val="003A1E53"/>
    <w:rsid w:val="003B124E"/>
    <w:rsid w:val="003B2D04"/>
    <w:rsid w:val="004024CF"/>
    <w:rsid w:val="00403F47"/>
    <w:rsid w:val="00433F0A"/>
    <w:rsid w:val="0046413D"/>
    <w:rsid w:val="00467D1B"/>
    <w:rsid w:val="00470858"/>
    <w:rsid w:val="00472A97"/>
    <w:rsid w:val="004827FE"/>
    <w:rsid w:val="00485D46"/>
    <w:rsid w:val="004A07E6"/>
    <w:rsid w:val="004C0B9A"/>
    <w:rsid w:val="004D0400"/>
    <w:rsid w:val="004D1516"/>
    <w:rsid w:val="004D63FD"/>
    <w:rsid w:val="004E10B4"/>
    <w:rsid w:val="004E5A0A"/>
    <w:rsid w:val="00503D57"/>
    <w:rsid w:val="00504624"/>
    <w:rsid w:val="00510BC9"/>
    <w:rsid w:val="00523CB9"/>
    <w:rsid w:val="00536B15"/>
    <w:rsid w:val="005540AA"/>
    <w:rsid w:val="005935D0"/>
    <w:rsid w:val="005A61C7"/>
    <w:rsid w:val="005C5156"/>
    <w:rsid w:val="005E207C"/>
    <w:rsid w:val="00606194"/>
    <w:rsid w:val="00614083"/>
    <w:rsid w:val="00697197"/>
    <w:rsid w:val="006D0091"/>
    <w:rsid w:val="006E2DA2"/>
    <w:rsid w:val="006F4323"/>
    <w:rsid w:val="00705974"/>
    <w:rsid w:val="007062EA"/>
    <w:rsid w:val="0072141C"/>
    <w:rsid w:val="00732520"/>
    <w:rsid w:val="00740EB1"/>
    <w:rsid w:val="007542B7"/>
    <w:rsid w:val="0076567C"/>
    <w:rsid w:val="00772905"/>
    <w:rsid w:val="007A052F"/>
    <w:rsid w:val="007A1A01"/>
    <w:rsid w:val="007A2431"/>
    <w:rsid w:val="007D2075"/>
    <w:rsid w:val="00801368"/>
    <w:rsid w:val="00801936"/>
    <w:rsid w:val="00810B05"/>
    <w:rsid w:val="00812C1B"/>
    <w:rsid w:val="008621F7"/>
    <w:rsid w:val="00865549"/>
    <w:rsid w:val="00872EDB"/>
    <w:rsid w:val="00891DAD"/>
    <w:rsid w:val="00897F9E"/>
    <w:rsid w:val="008A309C"/>
    <w:rsid w:val="008C55EA"/>
    <w:rsid w:val="008E5856"/>
    <w:rsid w:val="008F354C"/>
    <w:rsid w:val="00926EF6"/>
    <w:rsid w:val="00940FAD"/>
    <w:rsid w:val="00957051"/>
    <w:rsid w:val="009848DE"/>
    <w:rsid w:val="009974A8"/>
    <w:rsid w:val="009C1CD0"/>
    <w:rsid w:val="009C2865"/>
    <w:rsid w:val="009D0537"/>
    <w:rsid w:val="009E3D13"/>
    <w:rsid w:val="00A021F4"/>
    <w:rsid w:val="00A35C83"/>
    <w:rsid w:val="00A42BA8"/>
    <w:rsid w:val="00A46D6C"/>
    <w:rsid w:val="00A6069E"/>
    <w:rsid w:val="00A63D22"/>
    <w:rsid w:val="00A814D6"/>
    <w:rsid w:val="00AD13B2"/>
    <w:rsid w:val="00B05C88"/>
    <w:rsid w:val="00B16902"/>
    <w:rsid w:val="00B16EF5"/>
    <w:rsid w:val="00B376DB"/>
    <w:rsid w:val="00B531F7"/>
    <w:rsid w:val="00B64B8D"/>
    <w:rsid w:val="00B83088"/>
    <w:rsid w:val="00B92F3A"/>
    <w:rsid w:val="00BB3DC2"/>
    <w:rsid w:val="00BD68A6"/>
    <w:rsid w:val="00C01ADE"/>
    <w:rsid w:val="00C04CE9"/>
    <w:rsid w:val="00C31F10"/>
    <w:rsid w:val="00C62CE3"/>
    <w:rsid w:val="00C7129F"/>
    <w:rsid w:val="00C915A5"/>
    <w:rsid w:val="00CC654B"/>
    <w:rsid w:val="00CD363C"/>
    <w:rsid w:val="00D02DB6"/>
    <w:rsid w:val="00D040B6"/>
    <w:rsid w:val="00D166FB"/>
    <w:rsid w:val="00D1791A"/>
    <w:rsid w:val="00D20FDD"/>
    <w:rsid w:val="00D266E1"/>
    <w:rsid w:val="00D35015"/>
    <w:rsid w:val="00D415FF"/>
    <w:rsid w:val="00D454D4"/>
    <w:rsid w:val="00D519CB"/>
    <w:rsid w:val="00DA5BEF"/>
    <w:rsid w:val="00DB3FA8"/>
    <w:rsid w:val="00DC7996"/>
    <w:rsid w:val="00DD38E3"/>
    <w:rsid w:val="00DD72E0"/>
    <w:rsid w:val="00E074F9"/>
    <w:rsid w:val="00E24F84"/>
    <w:rsid w:val="00E314DA"/>
    <w:rsid w:val="00E33AE7"/>
    <w:rsid w:val="00E3429D"/>
    <w:rsid w:val="00E40FED"/>
    <w:rsid w:val="00E824FC"/>
    <w:rsid w:val="00EA4E67"/>
    <w:rsid w:val="00EC2DD5"/>
    <w:rsid w:val="00ED2ECF"/>
    <w:rsid w:val="00ED6C8F"/>
    <w:rsid w:val="00EE44EA"/>
    <w:rsid w:val="00EF496E"/>
    <w:rsid w:val="00F11D51"/>
    <w:rsid w:val="00F30ABD"/>
    <w:rsid w:val="00F4180E"/>
    <w:rsid w:val="00F543F6"/>
    <w:rsid w:val="00F55484"/>
    <w:rsid w:val="00F60920"/>
    <w:rsid w:val="00F661E3"/>
    <w:rsid w:val="00F66EC4"/>
    <w:rsid w:val="00F714E8"/>
    <w:rsid w:val="00F81251"/>
    <w:rsid w:val="00F85C7F"/>
    <w:rsid w:val="00FA0DE3"/>
    <w:rsid w:val="00FA4325"/>
    <w:rsid w:val="00FD64FC"/>
    <w:rsid w:val="00FE4330"/>
    <w:rsid w:val="00FE5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uiPriority w:val="9"/>
    <w:qFormat/>
    <w:rsid w:val="005C5156"/>
    <w:pPr>
      <w:numPr>
        <w:numId w:val="10"/>
      </w:numPr>
      <w:outlineLvl w:val="0"/>
    </w:pPr>
    <w:rPr>
      <w:b/>
      <w:color w:val="3333FF"/>
      <w:sz w:val="24"/>
      <w:szCs w:val="24"/>
    </w:rPr>
  </w:style>
  <w:style w:type="paragraph" w:styleId="Titre2">
    <w:name w:val="heading 2"/>
    <w:basedOn w:val="Normal"/>
    <w:next w:val="Normal"/>
    <w:link w:val="Titre2Car"/>
    <w:qFormat/>
    <w:rsid w:val="00A35C83"/>
    <w:pPr>
      <w:keepNext/>
      <w:spacing w:after="0" w:line="240" w:lineRule="auto"/>
      <w:jc w:val="center"/>
      <w:outlineLvl w:val="1"/>
    </w:pPr>
    <w:rPr>
      <w:rFonts w:ascii="Arial" w:eastAsia="Times" w:hAnsi="Arial" w:cs="Arial"/>
      <w:b/>
      <w:bCs/>
      <w:sz w:val="24"/>
      <w:szCs w:val="18"/>
      <w:lang w:eastAsia="fr-FR"/>
    </w:rPr>
  </w:style>
  <w:style w:type="paragraph" w:styleId="Titre3">
    <w:name w:val="heading 3"/>
    <w:basedOn w:val="Paragraphedeliste"/>
    <w:next w:val="Normal"/>
    <w:link w:val="Titre3Car"/>
    <w:uiPriority w:val="9"/>
    <w:unhideWhenUsed/>
    <w:qFormat/>
    <w:rsid w:val="005C5156"/>
    <w:pPr>
      <w:numPr>
        <w:ilvl w:val="1"/>
        <w:numId w:val="10"/>
      </w:numPr>
      <w:outlineLvl w:val="2"/>
    </w:pPr>
    <w:rPr>
      <w:b/>
      <w:color w:val="3333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A30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09C"/>
    <w:rPr>
      <w:rFonts w:ascii="Tahoma" w:hAnsi="Tahoma" w:cs="Tahoma"/>
      <w:sz w:val="16"/>
      <w:szCs w:val="16"/>
    </w:rPr>
  </w:style>
  <w:style w:type="character" w:customStyle="1" w:styleId="Titre2Car">
    <w:name w:val="Titre 2 Car"/>
    <w:basedOn w:val="Policepardfaut"/>
    <w:link w:val="Titre2"/>
    <w:rsid w:val="00A35C83"/>
    <w:rPr>
      <w:rFonts w:ascii="Arial" w:eastAsia="Times" w:hAnsi="Arial" w:cs="Arial"/>
      <w:b/>
      <w:bCs/>
      <w:sz w:val="24"/>
      <w:szCs w:val="18"/>
      <w:lang w:eastAsia="fr-FR"/>
    </w:rPr>
  </w:style>
  <w:style w:type="paragraph" w:styleId="NormalWeb">
    <w:name w:val="Normal (Web)"/>
    <w:basedOn w:val="Normal"/>
    <w:uiPriority w:val="99"/>
    <w:unhideWhenUsed/>
    <w:rsid w:val="00A35C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3429D"/>
    <w:rPr>
      <w:sz w:val="16"/>
      <w:szCs w:val="16"/>
    </w:rPr>
  </w:style>
  <w:style w:type="paragraph" w:styleId="Commentaire">
    <w:name w:val="annotation text"/>
    <w:basedOn w:val="Normal"/>
    <w:link w:val="CommentaireCar"/>
    <w:uiPriority w:val="99"/>
    <w:semiHidden/>
    <w:unhideWhenUsed/>
    <w:rsid w:val="00E3429D"/>
    <w:pPr>
      <w:spacing w:line="240" w:lineRule="auto"/>
    </w:pPr>
    <w:rPr>
      <w:sz w:val="20"/>
      <w:szCs w:val="20"/>
    </w:rPr>
  </w:style>
  <w:style w:type="character" w:customStyle="1" w:styleId="CommentaireCar">
    <w:name w:val="Commentaire Car"/>
    <w:basedOn w:val="Policepardfaut"/>
    <w:link w:val="Commentaire"/>
    <w:uiPriority w:val="99"/>
    <w:semiHidden/>
    <w:rsid w:val="00E3429D"/>
    <w:rPr>
      <w:sz w:val="20"/>
      <w:szCs w:val="20"/>
    </w:rPr>
  </w:style>
  <w:style w:type="paragraph" w:styleId="Objetducommentaire">
    <w:name w:val="annotation subject"/>
    <w:basedOn w:val="Commentaire"/>
    <w:next w:val="Commentaire"/>
    <w:link w:val="ObjetducommentaireCar"/>
    <w:uiPriority w:val="99"/>
    <w:semiHidden/>
    <w:unhideWhenUsed/>
    <w:rsid w:val="00E3429D"/>
    <w:rPr>
      <w:b/>
      <w:bCs/>
    </w:rPr>
  </w:style>
  <w:style w:type="character" w:customStyle="1" w:styleId="ObjetducommentaireCar">
    <w:name w:val="Objet du commentaire Car"/>
    <w:basedOn w:val="CommentaireCar"/>
    <w:link w:val="Objetducommentaire"/>
    <w:uiPriority w:val="99"/>
    <w:semiHidden/>
    <w:rsid w:val="00E3429D"/>
    <w:rPr>
      <w:b/>
      <w:bCs/>
      <w:sz w:val="20"/>
      <w:szCs w:val="20"/>
    </w:rPr>
  </w:style>
  <w:style w:type="paragraph" w:styleId="TM2">
    <w:name w:val="toc 2"/>
    <w:basedOn w:val="Normal"/>
    <w:next w:val="Normal"/>
    <w:autoRedefine/>
    <w:uiPriority w:val="39"/>
    <w:unhideWhenUsed/>
    <w:rsid w:val="000471A0"/>
    <w:pPr>
      <w:spacing w:before="120" w:after="0" w:line="240" w:lineRule="auto"/>
      <w:ind w:left="200"/>
    </w:pPr>
    <w:rPr>
      <w:rFonts w:ascii="Calibri" w:eastAsia="Times" w:hAnsi="Calibri" w:cs="Times"/>
      <w:i/>
      <w:iCs/>
      <w:sz w:val="20"/>
      <w:szCs w:val="20"/>
      <w:lang w:eastAsia="fr-FR"/>
    </w:rPr>
  </w:style>
  <w:style w:type="paragraph" w:styleId="Rvision">
    <w:name w:val="Revision"/>
    <w:hidden/>
    <w:uiPriority w:val="99"/>
    <w:semiHidden/>
    <w:rsid w:val="008621F7"/>
    <w:pPr>
      <w:spacing w:after="0" w:line="240" w:lineRule="auto"/>
    </w:pPr>
  </w:style>
  <w:style w:type="paragraph" w:styleId="En-tte">
    <w:name w:val="header"/>
    <w:basedOn w:val="Normal"/>
    <w:link w:val="En-tteCar"/>
    <w:uiPriority w:val="99"/>
    <w:unhideWhenUsed/>
    <w:rsid w:val="00D20FDD"/>
    <w:pPr>
      <w:tabs>
        <w:tab w:val="center" w:pos="4536"/>
        <w:tab w:val="right" w:pos="9072"/>
      </w:tabs>
      <w:spacing w:after="0" w:line="240" w:lineRule="auto"/>
    </w:pPr>
  </w:style>
  <w:style w:type="character" w:customStyle="1" w:styleId="En-tteCar">
    <w:name w:val="En-tête Car"/>
    <w:basedOn w:val="Policepardfaut"/>
    <w:link w:val="En-tte"/>
    <w:uiPriority w:val="99"/>
    <w:rsid w:val="00D20FDD"/>
  </w:style>
  <w:style w:type="paragraph" w:styleId="Pieddepage">
    <w:name w:val="footer"/>
    <w:basedOn w:val="Normal"/>
    <w:link w:val="PieddepageCar"/>
    <w:uiPriority w:val="99"/>
    <w:unhideWhenUsed/>
    <w:rsid w:val="00D20F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0FDD"/>
  </w:style>
  <w:style w:type="character" w:customStyle="1" w:styleId="Titre1Car">
    <w:name w:val="Titre 1 Car"/>
    <w:basedOn w:val="Policepardfaut"/>
    <w:link w:val="Titre1"/>
    <w:uiPriority w:val="9"/>
    <w:rsid w:val="005C5156"/>
    <w:rPr>
      <w:b/>
      <w:color w:val="3333FF"/>
      <w:sz w:val="24"/>
      <w:szCs w:val="24"/>
    </w:rPr>
  </w:style>
  <w:style w:type="character" w:customStyle="1" w:styleId="Titre3Car">
    <w:name w:val="Titre 3 Car"/>
    <w:basedOn w:val="Policepardfaut"/>
    <w:link w:val="Titre3"/>
    <w:uiPriority w:val="9"/>
    <w:rsid w:val="005C5156"/>
    <w:rPr>
      <w:b/>
      <w:color w:val="3333FF"/>
      <w:sz w:val="24"/>
      <w:szCs w:val="24"/>
    </w:rPr>
  </w:style>
  <w:style w:type="paragraph" w:styleId="En-ttedetabledesmatires">
    <w:name w:val="TOC Heading"/>
    <w:basedOn w:val="Titre1"/>
    <w:next w:val="Normal"/>
    <w:uiPriority w:val="39"/>
    <w:semiHidden/>
    <w:unhideWhenUsed/>
    <w:qFormat/>
    <w:rsid w:val="005C5156"/>
    <w:pPr>
      <w:keepNext/>
      <w:keepLines/>
      <w:numPr>
        <w:numId w:val="0"/>
      </w:numPr>
      <w:spacing w:before="480" w:after="0"/>
      <w:contextualSpacing w:val="0"/>
      <w:outlineLvl w:val="9"/>
    </w:pPr>
    <w:rPr>
      <w:rFonts w:asciiTheme="majorHAnsi" w:eastAsiaTheme="majorEastAsia" w:hAnsiTheme="majorHAnsi" w:cstheme="majorBidi"/>
      <w:bCs/>
      <w:color w:val="365F91" w:themeColor="accent1" w:themeShade="BF"/>
      <w:sz w:val="28"/>
      <w:szCs w:val="28"/>
      <w:lang w:eastAsia="fr-FR"/>
    </w:rPr>
  </w:style>
  <w:style w:type="paragraph" w:styleId="TM1">
    <w:name w:val="toc 1"/>
    <w:basedOn w:val="Normal"/>
    <w:next w:val="Normal"/>
    <w:autoRedefine/>
    <w:uiPriority w:val="39"/>
    <w:unhideWhenUsed/>
    <w:rsid w:val="005C5156"/>
    <w:pPr>
      <w:spacing w:after="100"/>
    </w:pPr>
  </w:style>
  <w:style w:type="paragraph" w:styleId="TM3">
    <w:name w:val="toc 3"/>
    <w:basedOn w:val="Normal"/>
    <w:next w:val="Normal"/>
    <w:autoRedefine/>
    <w:uiPriority w:val="39"/>
    <w:unhideWhenUsed/>
    <w:rsid w:val="005C515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uiPriority w:val="9"/>
    <w:qFormat/>
    <w:rsid w:val="005C5156"/>
    <w:pPr>
      <w:numPr>
        <w:numId w:val="10"/>
      </w:numPr>
      <w:outlineLvl w:val="0"/>
    </w:pPr>
    <w:rPr>
      <w:b/>
      <w:color w:val="3333FF"/>
      <w:sz w:val="24"/>
      <w:szCs w:val="24"/>
    </w:rPr>
  </w:style>
  <w:style w:type="paragraph" w:styleId="Titre2">
    <w:name w:val="heading 2"/>
    <w:basedOn w:val="Normal"/>
    <w:next w:val="Normal"/>
    <w:link w:val="Titre2Car"/>
    <w:qFormat/>
    <w:rsid w:val="00A35C83"/>
    <w:pPr>
      <w:keepNext/>
      <w:spacing w:after="0" w:line="240" w:lineRule="auto"/>
      <w:jc w:val="center"/>
      <w:outlineLvl w:val="1"/>
    </w:pPr>
    <w:rPr>
      <w:rFonts w:ascii="Arial" w:eastAsia="Times" w:hAnsi="Arial" w:cs="Arial"/>
      <w:b/>
      <w:bCs/>
      <w:sz w:val="24"/>
      <w:szCs w:val="18"/>
      <w:lang w:eastAsia="fr-FR"/>
    </w:rPr>
  </w:style>
  <w:style w:type="paragraph" w:styleId="Titre3">
    <w:name w:val="heading 3"/>
    <w:basedOn w:val="Paragraphedeliste"/>
    <w:next w:val="Normal"/>
    <w:link w:val="Titre3Car"/>
    <w:uiPriority w:val="9"/>
    <w:unhideWhenUsed/>
    <w:qFormat/>
    <w:rsid w:val="005C5156"/>
    <w:pPr>
      <w:numPr>
        <w:ilvl w:val="1"/>
        <w:numId w:val="10"/>
      </w:numPr>
      <w:outlineLvl w:val="2"/>
    </w:pPr>
    <w:rPr>
      <w:b/>
      <w:color w:val="3333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A30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09C"/>
    <w:rPr>
      <w:rFonts w:ascii="Tahoma" w:hAnsi="Tahoma" w:cs="Tahoma"/>
      <w:sz w:val="16"/>
      <w:szCs w:val="16"/>
    </w:rPr>
  </w:style>
  <w:style w:type="character" w:customStyle="1" w:styleId="Titre2Car">
    <w:name w:val="Titre 2 Car"/>
    <w:basedOn w:val="Policepardfaut"/>
    <w:link w:val="Titre2"/>
    <w:rsid w:val="00A35C83"/>
    <w:rPr>
      <w:rFonts w:ascii="Arial" w:eastAsia="Times" w:hAnsi="Arial" w:cs="Arial"/>
      <w:b/>
      <w:bCs/>
      <w:sz w:val="24"/>
      <w:szCs w:val="18"/>
      <w:lang w:eastAsia="fr-FR"/>
    </w:rPr>
  </w:style>
  <w:style w:type="paragraph" w:styleId="NormalWeb">
    <w:name w:val="Normal (Web)"/>
    <w:basedOn w:val="Normal"/>
    <w:uiPriority w:val="99"/>
    <w:unhideWhenUsed/>
    <w:rsid w:val="00A35C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3429D"/>
    <w:rPr>
      <w:sz w:val="16"/>
      <w:szCs w:val="16"/>
    </w:rPr>
  </w:style>
  <w:style w:type="paragraph" w:styleId="Commentaire">
    <w:name w:val="annotation text"/>
    <w:basedOn w:val="Normal"/>
    <w:link w:val="CommentaireCar"/>
    <w:uiPriority w:val="99"/>
    <w:semiHidden/>
    <w:unhideWhenUsed/>
    <w:rsid w:val="00E3429D"/>
    <w:pPr>
      <w:spacing w:line="240" w:lineRule="auto"/>
    </w:pPr>
    <w:rPr>
      <w:sz w:val="20"/>
      <w:szCs w:val="20"/>
    </w:rPr>
  </w:style>
  <w:style w:type="character" w:customStyle="1" w:styleId="CommentaireCar">
    <w:name w:val="Commentaire Car"/>
    <w:basedOn w:val="Policepardfaut"/>
    <w:link w:val="Commentaire"/>
    <w:uiPriority w:val="99"/>
    <w:semiHidden/>
    <w:rsid w:val="00E3429D"/>
    <w:rPr>
      <w:sz w:val="20"/>
      <w:szCs w:val="20"/>
    </w:rPr>
  </w:style>
  <w:style w:type="paragraph" w:styleId="Objetducommentaire">
    <w:name w:val="annotation subject"/>
    <w:basedOn w:val="Commentaire"/>
    <w:next w:val="Commentaire"/>
    <w:link w:val="ObjetducommentaireCar"/>
    <w:uiPriority w:val="99"/>
    <w:semiHidden/>
    <w:unhideWhenUsed/>
    <w:rsid w:val="00E3429D"/>
    <w:rPr>
      <w:b/>
      <w:bCs/>
    </w:rPr>
  </w:style>
  <w:style w:type="character" w:customStyle="1" w:styleId="ObjetducommentaireCar">
    <w:name w:val="Objet du commentaire Car"/>
    <w:basedOn w:val="CommentaireCar"/>
    <w:link w:val="Objetducommentaire"/>
    <w:uiPriority w:val="99"/>
    <w:semiHidden/>
    <w:rsid w:val="00E3429D"/>
    <w:rPr>
      <w:b/>
      <w:bCs/>
      <w:sz w:val="20"/>
      <w:szCs w:val="20"/>
    </w:rPr>
  </w:style>
  <w:style w:type="paragraph" w:styleId="TM2">
    <w:name w:val="toc 2"/>
    <w:basedOn w:val="Normal"/>
    <w:next w:val="Normal"/>
    <w:autoRedefine/>
    <w:uiPriority w:val="39"/>
    <w:unhideWhenUsed/>
    <w:rsid w:val="000471A0"/>
    <w:pPr>
      <w:spacing w:before="120" w:after="0" w:line="240" w:lineRule="auto"/>
      <w:ind w:left="200"/>
    </w:pPr>
    <w:rPr>
      <w:rFonts w:ascii="Calibri" w:eastAsia="Times" w:hAnsi="Calibri" w:cs="Times"/>
      <w:i/>
      <w:iCs/>
      <w:sz w:val="20"/>
      <w:szCs w:val="20"/>
      <w:lang w:eastAsia="fr-FR"/>
    </w:rPr>
  </w:style>
  <w:style w:type="paragraph" w:styleId="Rvision">
    <w:name w:val="Revision"/>
    <w:hidden/>
    <w:uiPriority w:val="99"/>
    <w:semiHidden/>
    <w:rsid w:val="008621F7"/>
    <w:pPr>
      <w:spacing w:after="0" w:line="240" w:lineRule="auto"/>
    </w:pPr>
  </w:style>
  <w:style w:type="paragraph" w:styleId="En-tte">
    <w:name w:val="header"/>
    <w:basedOn w:val="Normal"/>
    <w:link w:val="En-tteCar"/>
    <w:uiPriority w:val="99"/>
    <w:unhideWhenUsed/>
    <w:rsid w:val="00D20FDD"/>
    <w:pPr>
      <w:tabs>
        <w:tab w:val="center" w:pos="4536"/>
        <w:tab w:val="right" w:pos="9072"/>
      </w:tabs>
      <w:spacing w:after="0" w:line="240" w:lineRule="auto"/>
    </w:pPr>
  </w:style>
  <w:style w:type="character" w:customStyle="1" w:styleId="En-tteCar">
    <w:name w:val="En-tête Car"/>
    <w:basedOn w:val="Policepardfaut"/>
    <w:link w:val="En-tte"/>
    <w:uiPriority w:val="99"/>
    <w:rsid w:val="00D20FDD"/>
  </w:style>
  <w:style w:type="paragraph" w:styleId="Pieddepage">
    <w:name w:val="footer"/>
    <w:basedOn w:val="Normal"/>
    <w:link w:val="PieddepageCar"/>
    <w:uiPriority w:val="99"/>
    <w:unhideWhenUsed/>
    <w:rsid w:val="00D20F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0FDD"/>
  </w:style>
  <w:style w:type="character" w:customStyle="1" w:styleId="Titre1Car">
    <w:name w:val="Titre 1 Car"/>
    <w:basedOn w:val="Policepardfaut"/>
    <w:link w:val="Titre1"/>
    <w:uiPriority w:val="9"/>
    <w:rsid w:val="005C5156"/>
    <w:rPr>
      <w:b/>
      <w:color w:val="3333FF"/>
      <w:sz w:val="24"/>
      <w:szCs w:val="24"/>
    </w:rPr>
  </w:style>
  <w:style w:type="character" w:customStyle="1" w:styleId="Titre3Car">
    <w:name w:val="Titre 3 Car"/>
    <w:basedOn w:val="Policepardfaut"/>
    <w:link w:val="Titre3"/>
    <w:uiPriority w:val="9"/>
    <w:rsid w:val="005C5156"/>
    <w:rPr>
      <w:b/>
      <w:color w:val="3333FF"/>
      <w:sz w:val="24"/>
      <w:szCs w:val="24"/>
    </w:rPr>
  </w:style>
  <w:style w:type="paragraph" w:styleId="En-ttedetabledesmatires">
    <w:name w:val="TOC Heading"/>
    <w:basedOn w:val="Titre1"/>
    <w:next w:val="Normal"/>
    <w:uiPriority w:val="39"/>
    <w:semiHidden/>
    <w:unhideWhenUsed/>
    <w:qFormat/>
    <w:rsid w:val="005C5156"/>
    <w:pPr>
      <w:keepNext/>
      <w:keepLines/>
      <w:numPr>
        <w:numId w:val="0"/>
      </w:numPr>
      <w:spacing w:before="480" w:after="0"/>
      <w:contextualSpacing w:val="0"/>
      <w:outlineLvl w:val="9"/>
    </w:pPr>
    <w:rPr>
      <w:rFonts w:asciiTheme="majorHAnsi" w:eastAsiaTheme="majorEastAsia" w:hAnsiTheme="majorHAnsi" w:cstheme="majorBidi"/>
      <w:bCs/>
      <w:color w:val="365F91" w:themeColor="accent1" w:themeShade="BF"/>
      <w:sz w:val="28"/>
      <w:szCs w:val="28"/>
      <w:lang w:eastAsia="fr-FR"/>
    </w:rPr>
  </w:style>
  <w:style w:type="paragraph" w:styleId="TM1">
    <w:name w:val="toc 1"/>
    <w:basedOn w:val="Normal"/>
    <w:next w:val="Normal"/>
    <w:autoRedefine/>
    <w:uiPriority w:val="39"/>
    <w:unhideWhenUsed/>
    <w:rsid w:val="005C5156"/>
    <w:pPr>
      <w:spacing w:after="100"/>
    </w:pPr>
  </w:style>
  <w:style w:type="paragraph" w:styleId="TM3">
    <w:name w:val="toc 3"/>
    <w:basedOn w:val="Normal"/>
    <w:next w:val="Normal"/>
    <w:autoRedefine/>
    <w:uiPriority w:val="39"/>
    <w:unhideWhenUsed/>
    <w:rsid w:val="005C515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9FF9-F5B7-45C7-8923-0090F923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1868</Words>
  <Characters>10276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Dominique Obert</cp:lastModifiedBy>
  <cp:revision>3</cp:revision>
  <cp:lastPrinted>2020-04-27T15:07:00Z</cp:lastPrinted>
  <dcterms:created xsi:type="dcterms:W3CDTF">2020-05-16T11:04:00Z</dcterms:created>
  <dcterms:modified xsi:type="dcterms:W3CDTF">2020-05-16T11:06:00Z</dcterms:modified>
</cp:coreProperties>
</file>