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D5" w:rsidRPr="002345B7" w:rsidRDefault="000113A0" w:rsidP="000113A0">
      <w:pPr>
        <w:jc w:val="center"/>
        <w:rPr>
          <w:b/>
          <w:sz w:val="24"/>
          <w:szCs w:val="24"/>
        </w:rPr>
      </w:pPr>
      <w:r w:rsidRPr="002345B7">
        <w:rPr>
          <w:b/>
          <w:sz w:val="24"/>
          <w:szCs w:val="24"/>
        </w:rPr>
        <w:t>Physique-chimie</w:t>
      </w:r>
      <w:r w:rsidR="004D63FD" w:rsidRPr="002345B7">
        <w:rPr>
          <w:b/>
          <w:sz w:val="24"/>
          <w:szCs w:val="24"/>
        </w:rPr>
        <w:t xml:space="preserve"> </w:t>
      </w:r>
      <w:r w:rsidR="000D640E" w:rsidRPr="002345B7">
        <w:rPr>
          <w:b/>
          <w:sz w:val="24"/>
          <w:szCs w:val="24"/>
        </w:rPr>
        <w:t>–</w:t>
      </w:r>
      <w:r w:rsidR="00C51479">
        <w:rPr>
          <w:b/>
          <w:sz w:val="24"/>
          <w:szCs w:val="24"/>
        </w:rPr>
        <w:t xml:space="preserve"> </w:t>
      </w:r>
      <w:r w:rsidR="00E221D8">
        <w:rPr>
          <w:b/>
          <w:sz w:val="24"/>
          <w:szCs w:val="24"/>
        </w:rPr>
        <w:t xml:space="preserve">enseignement obligatoire et de spécialité </w:t>
      </w:r>
      <w:r w:rsidR="000723ED" w:rsidRPr="002345B7">
        <w:rPr>
          <w:b/>
          <w:sz w:val="24"/>
          <w:szCs w:val="24"/>
        </w:rPr>
        <w:t xml:space="preserve"> –</w:t>
      </w:r>
      <w:r w:rsidR="000D640E" w:rsidRPr="002345B7">
        <w:rPr>
          <w:b/>
          <w:sz w:val="24"/>
          <w:szCs w:val="24"/>
        </w:rPr>
        <w:t xml:space="preserve"> classe</w:t>
      </w:r>
      <w:r w:rsidR="000723ED" w:rsidRPr="002345B7">
        <w:rPr>
          <w:b/>
          <w:sz w:val="24"/>
          <w:szCs w:val="24"/>
        </w:rPr>
        <w:t xml:space="preserve"> </w:t>
      </w:r>
      <w:r w:rsidR="000D640E" w:rsidRPr="002345B7">
        <w:rPr>
          <w:b/>
          <w:sz w:val="24"/>
          <w:szCs w:val="24"/>
        </w:rPr>
        <w:t xml:space="preserve">de </w:t>
      </w:r>
      <w:r w:rsidR="00E221D8">
        <w:rPr>
          <w:b/>
          <w:sz w:val="24"/>
          <w:szCs w:val="24"/>
        </w:rPr>
        <w:t>terminale S</w:t>
      </w:r>
    </w:p>
    <w:p w:rsidR="00D454D4" w:rsidRPr="002345B7" w:rsidRDefault="00D454D4">
      <w:pPr>
        <w:rPr>
          <w:b/>
          <w:sz w:val="24"/>
          <w:u w:val="single"/>
        </w:rPr>
      </w:pPr>
      <w:r w:rsidRPr="002345B7">
        <w:rPr>
          <w:b/>
          <w:sz w:val="24"/>
          <w:u w:val="single"/>
        </w:rPr>
        <w:t>Introduction</w:t>
      </w:r>
    </w:p>
    <w:p w:rsidR="000D640E" w:rsidRPr="00E178D4" w:rsidRDefault="0003317A">
      <w:r w:rsidRPr="00E178D4">
        <w:t xml:space="preserve">Les repères donnés ci-dessous ont une valeur indicative et visent simplement à </w:t>
      </w:r>
      <w:r w:rsidR="00A6069E" w:rsidRPr="00E178D4">
        <w:t xml:space="preserve">aider le professeur à </w:t>
      </w:r>
      <w:r w:rsidR="00126168" w:rsidRPr="00E178D4">
        <w:t xml:space="preserve">identifier les capacités </w:t>
      </w:r>
      <w:r w:rsidRPr="00E178D4">
        <w:t>clés qu</w:t>
      </w:r>
      <w:r w:rsidR="00A6069E" w:rsidRPr="00E178D4">
        <w:t>’il</w:t>
      </w:r>
      <w:r w:rsidRPr="00E178D4">
        <w:t xml:space="preserve"> peut choisir </w:t>
      </w:r>
      <w:r w:rsidR="00126168" w:rsidRPr="00E178D4">
        <w:t xml:space="preserve">de travailler durant la période </w:t>
      </w:r>
      <w:r w:rsidRPr="00E178D4">
        <w:t xml:space="preserve">de reprise. Ces capacités ont été </w:t>
      </w:r>
      <w:r w:rsidR="00A6069E" w:rsidRPr="00E178D4">
        <w:t>identifiée</w:t>
      </w:r>
      <w:r w:rsidR="00A814D6" w:rsidRPr="00E178D4">
        <w:t>s</w:t>
      </w:r>
      <w:r w:rsidR="00A6069E" w:rsidRPr="00E178D4">
        <w:t>,</w:t>
      </w:r>
      <w:r w:rsidRPr="00E178D4">
        <w:t xml:space="preserve"> d’une p</w:t>
      </w:r>
      <w:r w:rsidR="00A6069E" w:rsidRPr="00E178D4">
        <w:t>a</w:t>
      </w:r>
      <w:r w:rsidRPr="00E178D4">
        <w:t>rt en fonction de leur importance</w:t>
      </w:r>
      <w:r w:rsidR="00A6069E" w:rsidRPr="00E178D4">
        <w:t xml:space="preserve"> au regard des notions</w:t>
      </w:r>
      <w:r w:rsidRPr="00E178D4">
        <w:t xml:space="preserve"> et</w:t>
      </w:r>
      <w:r w:rsidR="00A6069E" w:rsidRPr="00E178D4">
        <w:t>,</w:t>
      </w:r>
      <w:r w:rsidRPr="00E178D4">
        <w:t xml:space="preserve"> d’autre part dans un objec</w:t>
      </w:r>
      <w:r w:rsidR="00A6069E" w:rsidRPr="00E178D4">
        <w:t>tif d’optimiser</w:t>
      </w:r>
      <w:r w:rsidR="00E9118B">
        <w:t>,</w:t>
      </w:r>
      <w:r w:rsidR="00A6069E" w:rsidRPr="00E178D4">
        <w:t xml:space="preserve"> </w:t>
      </w:r>
      <w:r w:rsidR="00E9118B">
        <w:t xml:space="preserve">le cas échéant, </w:t>
      </w:r>
      <w:r w:rsidR="00A6069E" w:rsidRPr="00E178D4">
        <w:t>la</w:t>
      </w:r>
      <w:r w:rsidRPr="00E178D4">
        <w:t xml:space="preserve"> poursuite d’étude</w:t>
      </w:r>
      <w:r w:rsidR="00E221D8">
        <w:t>s</w:t>
      </w:r>
      <w:r w:rsidR="00E9118B">
        <w:t xml:space="preserve"> </w:t>
      </w:r>
      <w:r w:rsidR="00E221D8">
        <w:t>scientifiques dans l’enseignement supérieur.</w:t>
      </w:r>
    </w:p>
    <w:p w:rsidR="00E0509A" w:rsidRDefault="0003317A" w:rsidP="00E0509A">
      <w:r w:rsidRPr="00E178D4">
        <w:t xml:space="preserve">Les choix </w:t>
      </w:r>
      <w:r w:rsidR="00A6069E" w:rsidRPr="00E178D4">
        <w:t>effectués dépendent</w:t>
      </w:r>
      <w:r w:rsidRPr="00E178D4">
        <w:t xml:space="preserve"> </w:t>
      </w:r>
      <w:r w:rsidR="00A6069E" w:rsidRPr="00E178D4">
        <w:t xml:space="preserve">naturellement </w:t>
      </w:r>
      <w:r w:rsidRPr="00E178D4">
        <w:t>de ce qui a déjà été traité</w:t>
      </w:r>
      <w:r w:rsidR="00D454D4" w:rsidRPr="00E178D4">
        <w:t xml:space="preserve"> par le professeur et </w:t>
      </w:r>
      <w:r w:rsidR="00A6069E" w:rsidRPr="00E178D4">
        <w:t>des conditions de la continuité pédagogique pendant la période de confinement</w:t>
      </w:r>
      <w:r w:rsidRPr="00E178D4">
        <w:t>.</w:t>
      </w:r>
      <w:r w:rsidR="00A6069E" w:rsidRPr="00E178D4">
        <w:t xml:space="preserve"> Pendant cette courte période de reprise</w:t>
      </w:r>
      <w:r w:rsidR="00ED6C8F" w:rsidRPr="00E178D4">
        <w:t xml:space="preserve">, il est d’abord nécessaire </w:t>
      </w:r>
      <w:r w:rsidR="00A6069E" w:rsidRPr="00E178D4">
        <w:t>de rassurer et de réengager progressivement les</w:t>
      </w:r>
      <w:r w:rsidR="00ED6C8F" w:rsidRPr="00E178D4">
        <w:t xml:space="preserve"> élèves dans les apprentissages. Par ailleurs, </w:t>
      </w:r>
      <w:r w:rsidR="002C3A2C" w:rsidRPr="00E178D4">
        <w:t>il est préférable, compte tenu des contraintes sanitaires, de s’appuyer sur des expériences conduite</w:t>
      </w:r>
      <w:r w:rsidR="00A814D6" w:rsidRPr="00E178D4">
        <w:t>s par le professeur</w:t>
      </w:r>
      <w:r w:rsidR="00ED6C8F" w:rsidRPr="00E178D4">
        <w:t>, des vidéos</w:t>
      </w:r>
      <w:r w:rsidR="00040A62">
        <w:t>, des animations</w:t>
      </w:r>
      <w:r w:rsidR="00ED6C8F" w:rsidRPr="00E178D4">
        <w:t xml:space="preserve"> et des simulations.</w:t>
      </w:r>
      <w:r w:rsidR="00A814D6" w:rsidRPr="00E178D4">
        <w:t xml:space="preserve"> </w:t>
      </w:r>
      <w:r w:rsidR="00ED6C8F" w:rsidRPr="00E178D4">
        <w:t>C</w:t>
      </w:r>
      <w:r w:rsidR="002C3A2C" w:rsidRPr="00E178D4">
        <w:t xml:space="preserve">eci </w:t>
      </w:r>
      <w:r w:rsidR="00ED6C8F" w:rsidRPr="00E178D4">
        <w:t xml:space="preserve">ne remet pas </w:t>
      </w:r>
      <w:r w:rsidR="00A814D6" w:rsidRPr="00E178D4">
        <w:t xml:space="preserve">en cause la pratique de </w:t>
      </w:r>
      <w:r w:rsidR="002C3A2C" w:rsidRPr="00E178D4">
        <w:t>la</w:t>
      </w:r>
      <w:r w:rsidR="00A814D6" w:rsidRPr="00E178D4">
        <w:t xml:space="preserve"> démarche scientifique</w:t>
      </w:r>
      <w:r w:rsidR="009D0537" w:rsidRPr="00E178D4">
        <w:t xml:space="preserve"> </w:t>
      </w:r>
      <w:r w:rsidR="00E9118B">
        <w:t>et</w:t>
      </w:r>
      <w:r w:rsidR="00A814D6" w:rsidRPr="00E178D4">
        <w:t xml:space="preserve"> </w:t>
      </w:r>
      <w:r w:rsidR="002C3A2C" w:rsidRPr="00E178D4">
        <w:t>la nécessaire mise en activité des élèves</w:t>
      </w:r>
      <w:r w:rsidR="00E9118B">
        <w:t>.</w:t>
      </w:r>
      <w:r w:rsidR="009D0537" w:rsidRPr="00E178D4">
        <w:t xml:space="preserve"> </w:t>
      </w:r>
      <w:r w:rsidR="00E0509A" w:rsidRPr="00FA17A3">
        <w:t xml:space="preserve">Enfin, eu égard à </w:t>
      </w:r>
      <w:r w:rsidR="00E0509A">
        <w:t xml:space="preserve">la variabilité vraisemblable des conditions de la reprise (par exemple </w:t>
      </w:r>
      <w:r w:rsidR="00E0509A" w:rsidRPr="00FA17A3">
        <w:t xml:space="preserve">alternance de séances en présentiel et de </w:t>
      </w:r>
      <w:r w:rsidR="00E0509A">
        <w:t xml:space="preserve">travaux à distance), </w:t>
      </w:r>
      <w:r w:rsidR="00E0509A" w:rsidRPr="00FA17A3">
        <w:t xml:space="preserve">il est </w:t>
      </w:r>
      <w:r w:rsidR="001A769C">
        <w:t>recommandé</w:t>
      </w:r>
      <w:r w:rsidR="00E0509A" w:rsidRPr="00FA17A3">
        <w:t xml:space="preserve"> de construire des séances </w:t>
      </w:r>
      <w:r w:rsidR="00E0509A">
        <w:t xml:space="preserve">relativement </w:t>
      </w:r>
      <w:r w:rsidR="00E0509A" w:rsidRPr="00FA17A3">
        <w:t>autonomes</w:t>
      </w:r>
      <w:bookmarkStart w:id="0" w:name="_GoBack"/>
      <w:bookmarkEnd w:id="0"/>
      <w:r w:rsidR="00E0509A">
        <w:t>.</w:t>
      </w:r>
      <w:r w:rsidR="00E0509A" w:rsidRPr="00FA17A3">
        <w:t xml:space="preserve">  </w:t>
      </w:r>
    </w:p>
    <w:p w:rsidR="000723ED" w:rsidRDefault="00306282">
      <w:r w:rsidRPr="00306282">
        <w:t>L’acquisition des capacités expérimentales sera poursuivie</w:t>
      </w:r>
      <w:r>
        <w:t>,</w:t>
      </w:r>
      <w:r w:rsidRPr="00306282">
        <w:t xml:space="preserve"> le cas échéant, </w:t>
      </w:r>
      <w:r w:rsidR="00E221D8">
        <w:t>dans l’enseignement supérieur</w:t>
      </w:r>
      <w:r w:rsidRPr="00306282">
        <w:t> ; les expériences de cours et les vidéos peuvent être l’occasion</w:t>
      </w:r>
      <w:r>
        <w:t>, pour le professeur,</w:t>
      </w:r>
      <w:r w:rsidRPr="00306282">
        <w:t xml:space="preserve"> </w:t>
      </w:r>
      <w:r w:rsidR="001A769C">
        <w:t xml:space="preserve">de continuer à apporter des </w:t>
      </w:r>
      <w:r w:rsidR="00040A62">
        <w:t xml:space="preserve">éléments de formation </w:t>
      </w:r>
      <w:r>
        <w:t xml:space="preserve">en </w:t>
      </w:r>
      <w:r w:rsidRPr="00306282">
        <w:t>lien direct avec la pratique expérimentale.</w:t>
      </w:r>
    </w:p>
    <w:p w:rsidR="000D640E" w:rsidRDefault="00D454D4" w:rsidP="00E178D4">
      <w:pPr>
        <w:rPr>
          <w:b/>
          <w:sz w:val="24"/>
          <w:u w:val="single"/>
        </w:rPr>
      </w:pPr>
      <w:r w:rsidRPr="002345B7">
        <w:rPr>
          <w:b/>
          <w:sz w:val="24"/>
          <w:u w:val="single"/>
        </w:rPr>
        <w:t>Capacités à travailler en priorité</w:t>
      </w:r>
    </w:p>
    <w:p w:rsidR="00C607F3" w:rsidRDefault="00C607F3" w:rsidP="00C607F3">
      <w:pPr>
        <w:pStyle w:val="Paragraphedeliste"/>
        <w:numPr>
          <w:ilvl w:val="0"/>
          <w:numId w:val="12"/>
        </w:numPr>
        <w:rPr>
          <w:b/>
          <w:sz w:val="24"/>
          <w:u w:val="single"/>
        </w:rPr>
      </w:pPr>
      <w:r>
        <w:rPr>
          <w:b/>
          <w:sz w:val="24"/>
          <w:u w:val="single"/>
        </w:rPr>
        <w:t>Enseignement obligatoire</w:t>
      </w:r>
    </w:p>
    <w:p w:rsidR="00C607F3" w:rsidRPr="00C607F3" w:rsidRDefault="00C607F3" w:rsidP="00C607F3">
      <w:pPr>
        <w:pStyle w:val="Paragraphedeliste"/>
        <w:rPr>
          <w:b/>
          <w:sz w:val="24"/>
          <w:u w:val="single"/>
        </w:rPr>
      </w:pPr>
    </w:p>
    <w:p w:rsidR="000113A0" w:rsidRPr="002345B7" w:rsidRDefault="00E221D8" w:rsidP="000D640E">
      <w:pPr>
        <w:pStyle w:val="Paragraphedeliste"/>
        <w:numPr>
          <w:ilvl w:val="0"/>
          <w:numId w:val="2"/>
        </w:numPr>
        <w:rPr>
          <w:b/>
          <w:sz w:val="24"/>
        </w:rPr>
      </w:pPr>
      <w:r w:rsidRPr="00E221D8">
        <w:rPr>
          <w:b/>
          <w:sz w:val="24"/>
        </w:rPr>
        <w:t>Observer :</w:t>
      </w:r>
      <w:r>
        <w:rPr>
          <w:b/>
          <w:sz w:val="24"/>
        </w:rPr>
        <w:t xml:space="preserve"> o</w:t>
      </w:r>
      <w:r w:rsidRPr="00E221D8">
        <w:rPr>
          <w:b/>
          <w:sz w:val="24"/>
        </w:rPr>
        <w:t>ndes et matière</w:t>
      </w:r>
    </w:p>
    <w:tbl>
      <w:tblPr>
        <w:tblStyle w:val="Grilledutableau"/>
        <w:tblW w:w="0" w:type="auto"/>
        <w:tblLook w:val="04A0" w:firstRow="1" w:lastRow="0" w:firstColumn="1" w:lastColumn="0" w:noHBand="0" w:noVBand="1"/>
      </w:tblPr>
      <w:tblGrid>
        <w:gridCol w:w="4606"/>
        <w:gridCol w:w="4606"/>
      </w:tblGrid>
      <w:tr w:rsidR="00130A57" w:rsidRPr="00492432" w:rsidTr="0097202E">
        <w:tc>
          <w:tcPr>
            <w:tcW w:w="4606" w:type="dxa"/>
          </w:tcPr>
          <w:p w:rsidR="00130A57" w:rsidRPr="00492432" w:rsidRDefault="00EC7E3D" w:rsidP="0097202E">
            <w:pPr>
              <w:rPr>
                <w:b/>
              </w:rPr>
            </w:pPr>
            <w:r w:rsidRPr="00492432">
              <w:rPr>
                <w:b/>
              </w:rPr>
              <w:t>Thèmes abordé</w:t>
            </w:r>
            <w:r w:rsidR="00017564" w:rsidRPr="00492432">
              <w:rPr>
                <w:b/>
              </w:rPr>
              <w:t xml:space="preserve">s </w:t>
            </w:r>
          </w:p>
        </w:tc>
        <w:tc>
          <w:tcPr>
            <w:tcW w:w="4606" w:type="dxa"/>
          </w:tcPr>
          <w:p w:rsidR="00130A57" w:rsidRPr="00492432" w:rsidRDefault="00130A57" w:rsidP="0097202E">
            <w:pPr>
              <w:rPr>
                <w:b/>
              </w:rPr>
            </w:pPr>
            <w:r w:rsidRPr="00492432">
              <w:rPr>
                <w:b/>
              </w:rPr>
              <w:t>Capacités à travailler en priorité</w:t>
            </w:r>
          </w:p>
        </w:tc>
      </w:tr>
      <w:tr w:rsidR="00130A57" w:rsidRPr="00492432" w:rsidTr="009B5830">
        <w:trPr>
          <w:trHeight w:val="664"/>
        </w:trPr>
        <w:tc>
          <w:tcPr>
            <w:tcW w:w="4606" w:type="dxa"/>
            <w:tcBorders>
              <w:bottom w:val="single" w:sz="4" w:space="0" w:color="auto"/>
            </w:tcBorders>
          </w:tcPr>
          <w:p w:rsidR="000D640E" w:rsidRPr="00492432" w:rsidRDefault="00223F00" w:rsidP="009B5830">
            <w:pPr>
              <w:pStyle w:val="Default"/>
              <w:rPr>
                <w:rFonts w:asciiTheme="minorHAnsi" w:hAnsiTheme="minorHAnsi"/>
                <w:b/>
                <w:bCs/>
                <w:color w:val="AD1D72"/>
                <w:sz w:val="22"/>
                <w:szCs w:val="22"/>
              </w:rPr>
            </w:pPr>
            <w:r>
              <w:rPr>
                <w:rFonts w:asciiTheme="minorHAnsi" w:hAnsiTheme="minorHAnsi"/>
                <w:b/>
                <w:bCs/>
                <w:color w:val="AD1D72"/>
                <w:sz w:val="22"/>
                <w:szCs w:val="22"/>
              </w:rPr>
              <w:t xml:space="preserve">Ondes et particules </w:t>
            </w:r>
          </w:p>
          <w:p w:rsidR="009B5830" w:rsidRPr="00492432" w:rsidRDefault="009B5830" w:rsidP="009B5830">
            <w:pPr>
              <w:pStyle w:val="Default"/>
              <w:rPr>
                <w:rFonts w:asciiTheme="minorHAnsi" w:hAnsiTheme="minorHAnsi"/>
                <w:bCs/>
                <w:sz w:val="22"/>
                <w:szCs w:val="22"/>
              </w:rPr>
            </w:pPr>
            <w:r w:rsidRPr="00492432">
              <w:rPr>
                <w:rFonts w:asciiTheme="minorHAnsi" w:hAnsiTheme="minorHAnsi" w:cs="Arial,Bold"/>
                <w:bCs/>
                <w:sz w:val="22"/>
                <w:szCs w:val="22"/>
              </w:rPr>
              <w:t>Rayonnements dans l’</w:t>
            </w:r>
            <w:r w:rsidRPr="00492432">
              <w:rPr>
                <w:rFonts w:asciiTheme="minorHAnsi" w:hAnsiTheme="minorHAnsi"/>
                <w:bCs/>
                <w:sz w:val="22"/>
                <w:szCs w:val="22"/>
              </w:rPr>
              <w:t>Univers</w:t>
            </w:r>
          </w:p>
          <w:p w:rsidR="009B5830" w:rsidRPr="00492432" w:rsidRDefault="009B5830" w:rsidP="009B5830">
            <w:pPr>
              <w:pStyle w:val="Default"/>
              <w:rPr>
                <w:rFonts w:asciiTheme="minorHAnsi" w:hAnsiTheme="minorHAnsi"/>
                <w:bCs/>
                <w:sz w:val="22"/>
                <w:szCs w:val="22"/>
              </w:rPr>
            </w:pPr>
            <w:r w:rsidRPr="00492432">
              <w:rPr>
                <w:rFonts w:asciiTheme="minorHAnsi" w:hAnsiTheme="minorHAnsi"/>
                <w:bCs/>
                <w:sz w:val="22"/>
                <w:szCs w:val="22"/>
              </w:rPr>
              <w:t>Les ondes dans la matière</w:t>
            </w:r>
          </w:p>
          <w:p w:rsidR="009B5830" w:rsidRPr="00492432" w:rsidRDefault="009B5830" w:rsidP="009B5830">
            <w:pPr>
              <w:pStyle w:val="Default"/>
              <w:rPr>
                <w:rFonts w:asciiTheme="minorHAnsi" w:hAnsiTheme="minorHAnsi"/>
                <w:sz w:val="22"/>
                <w:szCs w:val="22"/>
              </w:rPr>
            </w:pPr>
            <w:r w:rsidRPr="00492432">
              <w:rPr>
                <w:rFonts w:asciiTheme="minorHAnsi" w:hAnsiTheme="minorHAnsi"/>
                <w:bCs/>
                <w:sz w:val="22"/>
                <w:szCs w:val="22"/>
              </w:rPr>
              <w:t xml:space="preserve">Détecteurs </w:t>
            </w:r>
            <w:r w:rsidRPr="00492432">
              <w:rPr>
                <w:rFonts w:asciiTheme="minorHAnsi" w:hAnsiTheme="minorHAnsi" w:cs="Arial,Bold"/>
                <w:bCs/>
                <w:sz w:val="22"/>
                <w:szCs w:val="22"/>
              </w:rPr>
              <w:t>d’ondes et de particules</w:t>
            </w:r>
          </w:p>
        </w:tc>
        <w:tc>
          <w:tcPr>
            <w:tcW w:w="4606" w:type="dxa"/>
            <w:tcBorders>
              <w:bottom w:val="single" w:sz="4" w:space="0" w:color="auto"/>
            </w:tcBorders>
          </w:tcPr>
          <w:p w:rsidR="00130A57" w:rsidRPr="00E26DBD" w:rsidRDefault="00130A57" w:rsidP="0097202E"/>
          <w:p w:rsidR="00E26DBD" w:rsidRPr="00E26DBD" w:rsidRDefault="00E26DBD" w:rsidP="00E26DBD">
            <w:pPr>
              <w:autoSpaceDE w:val="0"/>
              <w:autoSpaceDN w:val="0"/>
              <w:adjustRightInd w:val="0"/>
              <w:rPr>
                <w:rFonts w:cs="Arial"/>
                <w:szCs w:val="20"/>
              </w:rPr>
            </w:pPr>
            <w:r w:rsidRPr="00E26DBD">
              <w:rPr>
                <w:rFonts w:cs="Arial"/>
                <w:szCs w:val="20"/>
              </w:rPr>
              <w:t>Connaître et exploiter la relation liant le niveau d’intensité sonore à l’intensité sonore</w:t>
            </w:r>
          </w:p>
        </w:tc>
      </w:tr>
      <w:tr w:rsidR="00EC7E3D" w:rsidRPr="00492432" w:rsidTr="00C607F3">
        <w:trPr>
          <w:trHeight w:val="342"/>
        </w:trPr>
        <w:tc>
          <w:tcPr>
            <w:tcW w:w="9212" w:type="dxa"/>
            <w:gridSpan w:val="2"/>
            <w:tcBorders>
              <w:top w:val="single" w:sz="4" w:space="0" w:color="auto"/>
            </w:tcBorders>
          </w:tcPr>
          <w:p w:rsidR="00EC7E3D" w:rsidRPr="00492432" w:rsidRDefault="00C607F3" w:rsidP="00040876">
            <w:pPr>
              <w:rPr>
                <w:color w:val="FF0000"/>
              </w:rPr>
            </w:pPr>
            <w:r w:rsidRPr="00492432">
              <w:rPr>
                <w:b/>
                <w:color w:val="FF0000"/>
                <w:u w:val="single"/>
              </w:rPr>
              <w:t>Conseil</w:t>
            </w:r>
            <w:r w:rsidR="00EC7E3D" w:rsidRPr="00492432">
              <w:rPr>
                <w:b/>
                <w:color w:val="FF0000"/>
              </w:rPr>
              <w:t> :</w:t>
            </w:r>
            <w:r w:rsidR="00EC7E3D" w:rsidRPr="00492432">
              <w:rPr>
                <w:color w:val="FF0000"/>
              </w:rPr>
              <w:t xml:space="preserve"> </w:t>
            </w:r>
            <w:r w:rsidR="00E26DBD">
              <w:rPr>
                <w:color w:val="FF0000"/>
              </w:rPr>
              <w:t>cett</w:t>
            </w:r>
            <w:r w:rsidR="00040876">
              <w:rPr>
                <w:color w:val="FF0000"/>
              </w:rPr>
              <w:t>e partie peut servir à la contextualisation des notions</w:t>
            </w:r>
            <w:r w:rsidR="00E26DBD">
              <w:rPr>
                <w:color w:val="FF0000"/>
              </w:rPr>
              <w:t xml:space="preserve"> </w:t>
            </w:r>
            <w:r w:rsidR="00040876">
              <w:rPr>
                <w:color w:val="FF0000"/>
              </w:rPr>
              <w:t xml:space="preserve">relatives aux </w:t>
            </w:r>
            <w:r w:rsidR="00E26DBD">
              <w:rPr>
                <w:color w:val="FF0000"/>
              </w:rPr>
              <w:t>ondes</w:t>
            </w:r>
            <w:r w:rsidR="001A769C">
              <w:rPr>
                <w:color w:val="FF0000"/>
              </w:rPr>
              <w:t>.</w:t>
            </w:r>
            <w:r w:rsidR="00E26DBD">
              <w:rPr>
                <w:color w:val="FF0000"/>
              </w:rPr>
              <w:t xml:space="preserve"> </w:t>
            </w:r>
          </w:p>
        </w:tc>
      </w:tr>
      <w:tr w:rsidR="00C607F3" w:rsidRPr="00492432" w:rsidTr="0010318E">
        <w:trPr>
          <w:trHeight w:val="690"/>
        </w:trPr>
        <w:tc>
          <w:tcPr>
            <w:tcW w:w="4606" w:type="dxa"/>
          </w:tcPr>
          <w:p w:rsidR="00C607F3" w:rsidRPr="00492432" w:rsidRDefault="00C607F3" w:rsidP="00017564">
            <w:pPr>
              <w:pStyle w:val="Default"/>
              <w:rPr>
                <w:rFonts w:asciiTheme="minorHAnsi" w:hAnsiTheme="minorHAnsi"/>
                <w:b/>
                <w:bCs/>
                <w:color w:val="AD1D72"/>
                <w:sz w:val="22"/>
                <w:szCs w:val="22"/>
              </w:rPr>
            </w:pPr>
            <w:r w:rsidRPr="00492432">
              <w:rPr>
                <w:rFonts w:asciiTheme="minorHAnsi" w:hAnsiTheme="minorHAnsi"/>
                <w:b/>
                <w:bCs/>
                <w:color w:val="AD1D72"/>
                <w:sz w:val="22"/>
                <w:szCs w:val="22"/>
              </w:rPr>
              <w:t>Caractéri</w:t>
            </w:r>
            <w:r w:rsidR="00223F00">
              <w:rPr>
                <w:rFonts w:asciiTheme="minorHAnsi" w:hAnsiTheme="minorHAnsi"/>
                <w:b/>
                <w:bCs/>
                <w:color w:val="AD1D72"/>
                <w:sz w:val="22"/>
                <w:szCs w:val="22"/>
              </w:rPr>
              <w:t>stiques et propriétés des ondes</w:t>
            </w:r>
          </w:p>
          <w:p w:rsidR="00F7348E" w:rsidRPr="00492432" w:rsidRDefault="00F7348E" w:rsidP="00017564">
            <w:pPr>
              <w:pStyle w:val="Default"/>
              <w:rPr>
                <w:rFonts w:asciiTheme="minorHAnsi" w:hAnsiTheme="minorHAnsi"/>
                <w:bCs/>
                <w:sz w:val="22"/>
                <w:szCs w:val="22"/>
              </w:rPr>
            </w:pPr>
          </w:p>
          <w:p w:rsidR="00C607F3" w:rsidRPr="00E26DBD" w:rsidRDefault="00C607F3" w:rsidP="00017564">
            <w:pPr>
              <w:pStyle w:val="Default"/>
              <w:rPr>
                <w:rFonts w:asciiTheme="minorHAnsi" w:hAnsiTheme="minorHAnsi"/>
                <w:bCs/>
                <w:sz w:val="22"/>
                <w:szCs w:val="22"/>
              </w:rPr>
            </w:pPr>
            <w:r w:rsidRPr="00492432">
              <w:rPr>
                <w:rFonts w:asciiTheme="minorHAnsi" w:hAnsiTheme="minorHAnsi"/>
                <w:bCs/>
                <w:sz w:val="22"/>
                <w:szCs w:val="22"/>
              </w:rPr>
              <w:t>Caractéristiques des ondes</w:t>
            </w:r>
          </w:p>
        </w:tc>
        <w:tc>
          <w:tcPr>
            <w:tcW w:w="4606" w:type="dxa"/>
          </w:tcPr>
          <w:p w:rsidR="00C607F3" w:rsidRDefault="00C607F3" w:rsidP="0097202E"/>
          <w:p w:rsidR="00E26DBD" w:rsidRPr="00E26DBD" w:rsidRDefault="00040876" w:rsidP="00E26DBD">
            <w:pPr>
              <w:autoSpaceDE w:val="0"/>
              <w:autoSpaceDN w:val="0"/>
              <w:adjustRightInd w:val="0"/>
              <w:rPr>
                <w:rFonts w:cs="Arial"/>
                <w:szCs w:val="20"/>
              </w:rPr>
            </w:pPr>
            <w:r>
              <w:rPr>
                <w:rFonts w:cs="Arial"/>
              </w:rPr>
              <w:t>Énoncer</w:t>
            </w:r>
            <w:r w:rsidR="00E26DBD" w:rsidRPr="00E26DBD">
              <w:rPr>
                <w:rFonts w:cs="Arial"/>
                <w:szCs w:val="20"/>
              </w:rPr>
              <w:t xml:space="preserve"> et exploiter la relation entre retard, distance et vitesse de propagation (célérité)</w:t>
            </w:r>
          </w:p>
          <w:p w:rsidR="00E26DBD" w:rsidRPr="00E26DBD" w:rsidRDefault="00040876" w:rsidP="00E26DBD">
            <w:pPr>
              <w:autoSpaceDE w:val="0"/>
              <w:autoSpaceDN w:val="0"/>
              <w:adjustRightInd w:val="0"/>
              <w:rPr>
                <w:rFonts w:cs="Arial"/>
                <w:szCs w:val="20"/>
              </w:rPr>
            </w:pPr>
            <w:r>
              <w:rPr>
                <w:rFonts w:cs="Arial"/>
              </w:rPr>
              <w:t>Énoncer</w:t>
            </w:r>
            <w:r w:rsidRPr="00E26DBD">
              <w:rPr>
                <w:rFonts w:cs="Arial"/>
                <w:szCs w:val="20"/>
              </w:rPr>
              <w:t xml:space="preserve"> </w:t>
            </w:r>
            <w:r w:rsidR="00E26DBD" w:rsidRPr="00E26DBD">
              <w:rPr>
                <w:rFonts w:cs="Arial"/>
                <w:szCs w:val="20"/>
              </w:rPr>
              <w:t>et exploiter la relation entre la période ou la fréquence, la longueur d’onde et la célérité</w:t>
            </w:r>
          </w:p>
          <w:p w:rsidR="00E26DBD" w:rsidRPr="00492432" w:rsidRDefault="00E26DBD" w:rsidP="00E26DBD">
            <w:pPr>
              <w:autoSpaceDE w:val="0"/>
              <w:autoSpaceDN w:val="0"/>
              <w:adjustRightInd w:val="0"/>
            </w:pPr>
            <w:r w:rsidRPr="00E26DBD">
              <w:rPr>
                <w:szCs w:val="20"/>
              </w:rPr>
              <w:t xml:space="preserve">Définir les notions de </w:t>
            </w:r>
            <w:r>
              <w:rPr>
                <w:rFonts w:cs="Arial"/>
                <w:szCs w:val="20"/>
              </w:rPr>
              <w:t>h</w:t>
            </w:r>
            <w:r w:rsidRPr="00E26DBD">
              <w:rPr>
                <w:rFonts w:cs="Arial"/>
                <w:szCs w:val="20"/>
              </w:rPr>
              <w:t>auteur et</w:t>
            </w:r>
            <w:r w:rsidR="0025542C">
              <w:rPr>
                <w:rFonts w:cs="Arial"/>
                <w:szCs w:val="20"/>
              </w:rPr>
              <w:t xml:space="preserve"> de timbre pour une onde sonore</w:t>
            </w:r>
          </w:p>
        </w:tc>
      </w:tr>
      <w:tr w:rsidR="00C607F3" w:rsidRPr="00492432" w:rsidTr="00C607F3">
        <w:trPr>
          <w:trHeight w:val="435"/>
        </w:trPr>
        <w:tc>
          <w:tcPr>
            <w:tcW w:w="4606" w:type="dxa"/>
            <w:tcBorders>
              <w:top w:val="dashed" w:sz="4" w:space="0" w:color="auto"/>
              <w:bottom w:val="single" w:sz="4" w:space="0" w:color="auto"/>
            </w:tcBorders>
          </w:tcPr>
          <w:p w:rsidR="00C607F3" w:rsidRPr="00492432" w:rsidRDefault="00C607F3" w:rsidP="00017564">
            <w:pPr>
              <w:pStyle w:val="Default"/>
              <w:rPr>
                <w:rFonts w:asciiTheme="minorHAnsi" w:hAnsiTheme="minorHAnsi"/>
                <w:bCs/>
                <w:sz w:val="22"/>
                <w:szCs w:val="22"/>
              </w:rPr>
            </w:pPr>
            <w:r w:rsidRPr="00492432">
              <w:rPr>
                <w:rFonts w:asciiTheme="minorHAnsi" w:hAnsiTheme="minorHAnsi"/>
                <w:bCs/>
                <w:sz w:val="22"/>
                <w:szCs w:val="22"/>
              </w:rPr>
              <w:t>Propriétés des ondes</w:t>
            </w:r>
          </w:p>
        </w:tc>
        <w:tc>
          <w:tcPr>
            <w:tcW w:w="4606" w:type="dxa"/>
            <w:tcBorders>
              <w:top w:val="dashed" w:sz="4" w:space="0" w:color="auto"/>
              <w:bottom w:val="single" w:sz="4" w:space="0" w:color="auto"/>
            </w:tcBorders>
          </w:tcPr>
          <w:p w:rsidR="00C607F3" w:rsidRPr="00E26DBD" w:rsidRDefault="00040876" w:rsidP="0097202E">
            <w:pPr>
              <w:rPr>
                <w:rFonts w:cs="Arial"/>
              </w:rPr>
            </w:pPr>
            <w:r>
              <w:rPr>
                <w:rFonts w:cs="Arial"/>
              </w:rPr>
              <w:t>Énoncer</w:t>
            </w:r>
            <w:r w:rsidR="00E26DBD" w:rsidRPr="00E26DBD">
              <w:rPr>
                <w:rFonts w:cs="Arial"/>
              </w:rPr>
              <w:t xml:space="preserve"> et exploiter la relation </w:t>
            </w:r>
            <w:r w:rsidR="00E26DBD" w:rsidRPr="00E26DBD">
              <w:rPr>
                <w:rFonts w:ascii="Arial" w:hAnsi="Arial" w:cs="Arial"/>
                <w:i/>
              </w:rPr>
              <w:t>θ</w:t>
            </w:r>
            <w:r w:rsidR="00E26DBD" w:rsidRPr="00E26DBD">
              <w:rPr>
                <w:rFonts w:cs="Symbol"/>
                <w:i/>
              </w:rPr>
              <w:t xml:space="preserve"> </w:t>
            </w:r>
            <w:r w:rsidR="00E26DBD" w:rsidRPr="00E26DBD">
              <w:rPr>
                <w:rFonts w:cs="Arial"/>
                <w:i/>
                <w:iCs/>
              </w:rPr>
              <w:t xml:space="preserve">= </w:t>
            </w:r>
            <w:r w:rsidR="00E26DBD" w:rsidRPr="00E26DBD">
              <w:rPr>
                <w:rFonts w:cs="Symbol"/>
                <w:i/>
              </w:rPr>
              <w:t>λ</w:t>
            </w:r>
            <w:r w:rsidR="00E26DBD" w:rsidRPr="00E26DBD">
              <w:rPr>
                <w:rFonts w:cs="Arial"/>
                <w:i/>
                <w:iCs/>
              </w:rPr>
              <w:t>/a</w:t>
            </w:r>
            <w:r w:rsidR="00E26DBD" w:rsidRPr="00E26DBD">
              <w:rPr>
                <w:rFonts w:cs="Arial"/>
              </w:rPr>
              <w:t xml:space="preserve"> pour la diffraction</w:t>
            </w:r>
          </w:p>
          <w:p w:rsidR="00E26DBD" w:rsidRDefault="00040876" w:rsidP="00E26DBD">
            <w:pPr>
              <w:autoSpaceDE w:val="0"/>
              <w:autoSpaceDN w:val="0"/>
              <w:adjustRightInd w:val="0"/>
              <w:rPr>
                <w:rFonts w:cs="Arial"/>
              </w:rPr>
            </w:pPr>
            <w:r>
              <w:rPr>
                <w:rFonts w:cs="Arial"/>
              </w:rPr>
              <w:t>Énoncer</w:t>
            </w:r>
            <w:r w:rsidR="00E26DBD" w:rsidRPr="00E26DBD">
              <w:rPr>
                <w:rFonts w:cs="Arial"/>
              </w:rPr>
              <w:t xml:space="preserve"> et exploiter les conditions d’interférences constructives et destructives pour des ondes monochromatiques.</w:t>
            </w:r>
          </w:p>
          <w:p w:rsidR="00223F00" w:rsidRPr="007A1C11" w:rsidRDefault="00223F00" w:rsidP="00223F00">
            <w:pPr>
              <w:autoSpaceDE w:val="0"/>
              <w:autoSpaceDN w:val="0"/>
              <w:adjustRightInd w:val="0"/>
              <w:rPr>
                <w:rFonts w:cs="Arial"/>
                <w:szCs w:val="20"/>
              </w:rPr>
            </w:pPr>
            <w:r w:rsidRPr="00223F00">
              <w:rPr>
                <w:rFonts w:cs="Arial"/>
                <w:szCs w:val="20"/>
              </w:rPr>
              <w:t>Exploiter l’expression du décalage Doppler de la</w:t>
            </w:r>
            <w:r w:rsidR="007A1C11">
              <w:rPr>
                <w:rFonts w:cs="Arial"/>
                <w:szCs w:val="20"/>
              </w:rPr>
              <w:t xml:space="preserve"> f</w:t>
            </w:r>
            <w:r w:rsidRPr="00223F00">
              <w:rPr>
                <w:rFonts w:cs="Arial"/>
                <w:szCs w:val="20"/>
              </w:rPr>
              <w:t>réquence</w:t>
            </w:r>
          </w:p>
        </w:tc>
      </w:tr>
      <w:tr w:rsidR="009B5830" w:rsidRPr="00492432" w:rsidTr="00E44FC7">
        <w:trPr>
          <w:trHeight w:val="418"/>
        </w:trPr>
        <w:tc>
          <w:tcPr>
            <w:tcW w:w="9212" w:type="dxa"/>
            <w:gridSpan w:val="2"/>
            <w:tcBorders>
              <w:top w:val="single" w:sz="4" w:space="0" w:color="auto"/>
              <w:bottom w:val="single" w:sz="4" w:space="0" w:color="auto"/>
            </w:tcBorders>
          </w:tcPr>
          <w:p w:rsidR="009B5830" w:rsidRPr="00223F00" w:rsidRDefault="00C607F3" w:rsidP="0097202E">
            <w:pPr>
              <w:rPr>
                <w:color w:val="FF0000"/>
              </w:rPr>
            </w:pPr>
            <w:r w:rsidRPr="00492432">
              <w:rPr>
                <w:b/>
                <w:color w:val="FF0000"/>
                <w:u w:val="single"/>
              </w:rPr>
              <w:t>Conseil</w:t>
            </w:r>
            <w:r w:rsidR="009B5830" w:rsidRPr="00492432">
              <w:rPr>
                <w:b/>
                <w:color w:val="FF0000"/>
              </w:rPr>
              <w:t> :</w:t>
            </w:r>
            <w:r w:rsidR="009B5830" w:rsidRPr="00492432">
              <w:rPr>
                <w:color w:val="FF0000"/>
              </w:rPr>
              <w:t xml:space="preserve"> </w:t>
            </w:r>
            <w:r w:rsidR="00223F00">
              <w:rPr>
                <w:color w:val="FF0000"/>
              </w:rPr>
              <w:t>mettre l’accent sur les idées essentielles utiles pour la poursuite d’étude. Cette partie est particulièrement adaptée aux expériences de cours et à l’utilisation de vidéos.</w:t>
            </w:r>
          </w:p>
        </w:tc>
      </w:tr>
      <w:tr w:rsidR="00017564" w:rsidRPr="00492432" w:rsidTr="00040876">
        <w:trPr>
          <w:trHeight w:val="842"/>
        </w:trPr>
        <w:tc>
          <w:tcPr>
            <w:tcW w:w="4606" w:type="dxa"/>
            <w:tcBorders>
              <w:top w:val="single" w:sz="4" w:space="0" w:color="auto"/>
              <w:bottom w:val="dashed" w:sz="4" w:space="0" w:color="auto"/>
            </w:tcBorders>
          </w:tcPr>
          <w:p w:rsidR="00017564" w:rsidRPr="00492432" w:rsidRDefault="00223F00" w:rsidP="009B5830">
            <w:pPr>
              <w:pStyle w:val="Default"/>
              <w:rPr>
                <w:rFonts w:asciiTheme="minorHAnsi" w:hAnsiTheme="minorHAnsi"/>
                <w:b/>
                <w:bCs/>
                <w:color w:val="AD1D72"/>
                <w:sz w:val="22"/>
                <w:szCs w:val="22"/>
              </w:rPr>
            </w:pPr>
            <w:r>
              <w:rPr>
                <w:rFonts w:asciiTheme="minorHAnsi" w:hAnsiTheme="minorHAnsi"/>
                <w:b/>
                <w:bCs/>
                <w:color w:val="AD1D72"/>
                <w:sz w:val="22"/>
                <w:szCs w:val="22"/>
              </w:rPr>
              <w:lastRenderedPageBreak/>
              <w:t>Analyse spectrale</w:t>
            </w:r>
          </w:p>
          <w:p w:rsidR="00C607F3" w:rsidRPr="00492432" w:rsidRDefault="00C607F3" w:rsidP="009B5830">
            <w:pPr>
              <w:pStyle w:val="Default"/>
              <w:rPr>
                <w:rFonts w:asciiTheme="minorHAnsi" w:hAnsiTheme="minorHAnsi"/>
                <w:b/>
                <w:bCs/>
                <w:color w:val="AD1D72"/>
                <w:sz w:val="22"/>
                <w:szCs w:val="22"/>
              </w:rPr>
            </w:pPr>
          </w:p>
          <w:p w:rsidR="009B5830" w:rsidRPr="00040876" w:rsidRDefault="009B5830" w:rsidP="009B5830">
            <w:pPr>
              <w:pStyle w:val="Default"/>
              <w:rPr>
                <w:rFonts w:asciiTheme="minorHAnsi" w:hAnsiTheme="minorHAnsi"/>
                <w:bCs/>
                <w:iCs/>
                <w:sz w:val="22"/>
                <w:szCs w:val="22"/>
              </w:rPr>
            </w:pPr>
            <w:r w:rsidRPr="00492432">
              <w:rPr>
                <w:rFonts w:asciiTheme="minorHAnsi" w:hAnsiTheme="minorHAnsi"/>
                <w:bCs/>
                <w:iCs/>
                <w:sz w:val="22"/>
                <w:szCs w:val="22"/>
              </w:rPr>
              <w:t>Spectres UV-visible</w:t>
            </w:r>
          </w:p>
        </w:tc>
        <w:tc>
          <w:tcPr>
            <w:tcW w:w="4606" w:type="dxa"/>
            <w:tcBorders>
              <w:top w:val="single" w:sz="4" w:space="0" w:color="auto"/>
              <w:bottom w:val="dashed" w:sz="4" w:space="0" w:color="auto"/>
            </w:tcBorders>
          </w:tcPr>
          <w:p w:rsidR="00017564" w:rsidRDefault="00017564" w:rsidP="0097202E"/>
          <w:p w:rsidR="00C432C4" w:rsidRPr="00492432" w:rsidRDefault="00C432C4" w:rsidP="00040876">
            <w:r>
              <w:t>Exploiter des spectres UV-visible</w:t>
            </w:r>
          </w:p>
        </w:tc>
      </w:tr>
      <w:tr w:rsidR="00C607F3" w:rsidRPr="00492432" w:rsidTr="00F7348E">
        <w:trPr>
          <w:trHeight w:val="300"/>
        </w:trPr>
        <w:tc>
          <w:tcPr>
            <w:tcW w:w="4606" w:type="dxa"/>
            <w:tcBorders>
              <w:top w:val="dashed" w:sz="4" w:space="0" w:color="auto"/>
              <w:bottom w:val="dashed" w:sz="4" w:space="0" w:color="auto"/>
            </w:tcBorders>
          </w:tcPr>
          <w:p w:rsidR="00C607F3" w:rsidRPr="00492432" w:rsidRDefault="00C607F3" w:rsidP="009B5830">
            <w:pPr>
              <w:pStyle w:val="Default"/>
              <w:rPr>
                <w:rFonts w:asciiTheme="minorHAnsi" w:hAnsiTheme="minorHAnsi"/>
                <w:bCs/>
                <w:iCs/>
                <w:sz w:val="22"/>
                <w:szCs w:val="22"/>
              </w:rPr>
            </w:pPr>
            <w:r w:rsidRPr="00492432">
              <w:rPr>
                <w:rFonts w:asciiTheme="minorHAnsi" w:hAnsiTheme="minorHAnsi"/>
                <w:bCs/>
                <w:iCs/>
                <w:sz w:val="22"/>
                <w:szCs w:val="22"/>
              </w:rPr>
              <w:t>Spectres IR</w:t>
            </w:r>
          </w:p>
          <w:p w:rsidR="00C607F3" w:rsidRPr="00492432" w:rsidRDefault="00C607F3" w:rsidP="009B5830">
            <w:pPr>
              <w:pStyle w:val="Default"/>
              <w:rPr>
                <w:rFonts w:asciiTheme="minorHAnsi" w:hAnsiTheme="minorHAnsi"/>
                <w:bCs/>
                <w:color w:val="AD1D72"/>
                <w:sz w:val="22"/>
                <w:szCs w:val="22"/>
              </w:rPr>
            </w:pPr>
          </w:p>
        </w:tc>
        <w:tc>
          <w:tcPr>
            <w:tcW w:w="4606" w:type="dxa"/>
            <w:tcBorders>
              <w:top w:val="dashed" w:sz="4" w:space="0" w:color="auto"/>
              <w:bottom w:val="dashed" w:sz="4" w:space="0" w:color="auto"/>
            </w:tcBorders>
          </w:tcPr>
          <w:p w:rsidR="00C607F3" w:rsidRPr="00492432" w:rsidRDefault="00045BD9" w:rsidP="0097202E">
            <w:r>
              <w:t>Exploiter un spectre IR pour déterminer des groupes caractéristiques à l’aide de données ou de logiciels</w:t>
            </w:r>
          </w:p>
        </w:tc>
      </w:tr>
      <w:tr w:rsidR="00C607F3" w:rsidRPr="00492432" w:rsidTr="00C607F3">
        <w:trPr>
          <w:trHeight w:val="462"/>
        </w:trPr>
        <w:tc>
          <w:tcPr>
            <w:tcW w:w="4606" w:type="dxa"/>
            <w:tcBorders>
              <w:top w:val="dashed" w:sz="4" w:space="0" w:color="auto"/>
            </w:tcBorders>
          </w:tcPr>
          <w:p w:rsidR="00C607F3" w:rsidRPr="00492432" w:rsidRDefault="00C607F3" w:rsidP="009B5830">
            <w:pPr>
              <w:pStyle w:val="Default"/>
              <w:rPr>
                <w:rFonts w:asciiTheme="minorHAnsi" w:hAnsiTheme="minorHAnsi"/>
                <w:bCs/>
                <w:iCs/>
                <w:sz w:val="22"/>
                <w:szCs w:val="22"/>
              </w:rPr>
            </w:pPr>
            <w:r w:rsidRPr="00492432">
              <w:rPr>
                <w:rFonts w:asciiTheme="minorHAnsi" w:hAnsiTheme="minorHAnsi"/>
                <w:bCs/>
                <w:iCs/>
                <w:sz w:val="22"/>
                <w:szCs w:val="22"/>
              </w:rPr>
              <w:t>Spectres RMN du proton</w:t>
            </w:r>
          </w:p>
        </w:tc>
        <w:tc>
          <w:tcPr>
            <w:tcW w:w="4606" w:type="dxa"/>
            <w:tcBorders>
              <w:top w:val="dashed" w:sz="4" w:space="0" w:color="auto"/>
            </w:tcBorders>
          </w:tcPr>
          <w:p w:rsidR="00C607F3" w:rsidRPr="00492432" w:rsidRDefault="00C607F3" w:rsidP="00045BD9"/>
        </w:tc>
      </w:tr>
      <w:tr w:rsidR="00EC7E3D" w:rsidRPr="00492432" w:rsidTr="00C607F3">
        <w:trPr>
          <w:trHeight w:val="425"/>
        </w:trPr>
        <w:tc>
          <w:tcPr>
            <w:tcW w:w="9212" w:type="dxa"/>
            <w:gridSpan w:val="2"/>
            <w:tcBorders>
              <w:top w:val="dashed" w:sz="4" w:space="0" w:color="auto"/>
            </w:tcBorders>
          </w:tcPr>
          <w:p w:rsidR="00EC7E3D" w:rsidRPr="003E3BA3" w:rsidRDefault="00C607F3" w:rsidP="00D67F04">
            <w:pPr>
              <w:rPr>
                <w:color w:val="FF0000"/>
              </w:rPr>
            </w:pPr>
            <w:r w:rsidRPr="00492432">
              <w:rPr>
                <w:b/>
                <w:color w:val="FF0000"/>
                <w:u w:val="single"/>
              </w:rPr>
              <w:t>Conseil</w:t>
            </w:r>
            <w:r w:rsidR="009B5830" w:rsidRPr="00492432">
              <w:rPr>
                <w:b/>
                <w:color w:val="FF0000"/>
              </w:rPr>
              <w:t> :</w:t>
            </w:r>
            <w:r w:rsidR="00CF6710">
              <w:rPr>
                <w:color w:val="FF0000"/>
              </w:rPr>
              <w:t xml:space="preserve"> </w:t>
            </w:r>
            <w:r w:rsidR="00040876">
              <w:rPr>
                <w:color w:val="FF0000"/>
              </w:rPr>
              <w:t>l</w:t>
            </w:r>
            <w:r w:rsidR="00BD5226">
              <w:rPr>
                <w:color w:val="FF0000"/>
              </w:rPr>
              <w:t xml:space="preserve">a spectroscopie UV-visible </w:t>
            </w:r>
            <w:r w:rsidR="00D67F04">
              <w:rPr>
                <w:color w:val="FF0000"/>
              </w:rPr>
              <w:t xml:space="preserve">est à aborder ou à réinvestir dans </w:t>
            </w:r>
            <w:r w:rsidR="00D67F04" w:rsidRPr="00D67F04">
              <w:rPr>
                <w:color w:val="FF0000"/>
              </w:rPr>
              <w:t xml:space="preserve">le </w:t>
            </w:r>
            <w:r w:rsidR="0026798C">
              <w:rPr>
                <w:color w:val="FF0000"/>
              </w:rPr>
              <w:t>« </w:t>
            </w:r>
            <w:r w:rsidR="00D67F04" w:rsidRPr="00D67F04">
              <w:rPr>
                <w:rFonts w:cs="Arial"/>
                <w:bCs/>
                <w:color w:val="FF0000"/>
              </w:rPr>
              <w:t>Contrôle de la qualité par dosage</w:t>
            </w:r>
            <w:r w:rsidR="0026798C">
              <w:rPr>
                <w:rFonts w:cs="Arial"/>
                <w:bCs/>
                <w:color w:val="FF0000"/>
              </w:rPr>
              <w:t> »</w:t>
            </w:r>
            <w:r w:rsidR="00D67F04" w:rsidRPr="00D67F04">
              <w:rPr>
                <w:color w:val="FF0000"/>
              </w:rPr>
              <w:t xml:space="preserve"> de la partie </w:t>
            </w:r>
            <w:r w:rsidR="00040876">
              <w:rPr>
                <w:color w:val="FF0000"/>
              </w:rPr>
              <w:t>« </w:t>
            </w:r>
            <w:r w:rsidR="00D67F04" w:rsidRPr="00D67F04">
              <w:rPr>
                <w:color w:val="FF0000"/>
              </w:rPr>
              <w:t>Agir</w:t>
            </w:r>
            <w:r w:rsidR="00040876">
              <w:rPr>
                <w:color w:val="FF0000"/>
              </w:rPr>
              <w:t> »</w:t>
            </w:r>
            <w:r w:rsidR="00D67F04" w:rsidRPr="00D67F04">
              <w:rPr>
                <w:color w:val="FF0000"/>
              </w:rPr>
              <w:t>.</w:t>
            </w:r>
            <w:r w:rsidR="0026798C">
              <w:rPr>
                <w:color w:val="FF0000"/>
              </w:rPr>
              <w:t xml:space="preserve"> </w:t>
            </w:r>
            <w:r w:rsidR="00D67F04" w:rsidRPr="0026798C">
              <w:rPr>
                <w:color w:val="FF0000"/>
              </w:rPr>
              <w:t>La</w:t>
            </w:r>
            <w:r w:rsidR="00BD5226" w:rsidRPr="0026798C">
              <w:rPr>
                <w:color w:val="FF0000"/>
              </w:rPr>
              <w:t xml:space="preserve"> spectroscopie IR </w:t>
            </w:r>
            <w:r w:rsidR="00D67F04" w:rsidRPr="0026798C">
              <w:rPr>
                <w:color w:val="FF0000"/>
              </w:rPr>
              <w:t xml:space="preserve">est à associer avec la </w:t>
            </w:r>
            <w:r w:rsidR="0026798C">
              <w:rPr>
                <w:color w:val="FF0000"/>
              </w:rPr>
              <w:t>« </w:t>
            </w:r>
            <w:r w:rsidR="00D67F04" w:rsidRPr="0026798C">
              <w:rPr>
                <w:color w:val="FF0000"/>
              </w:rPr>
              <w:t>Tr</w:t>
            </w:r>
            <w:r w:rsidR="0026798C">
              <w:rPr>
                <w:color w:val="FF0000"/>
              </w:rPr>
              <w:t xml:space="preserve">ansformation en chimie organique » de la partie </w:t>
            </w:r>
            <w:r w:rsidR="00040876">
              <w:rPr>
                <w:color w:val="FF0000"/>
              </w:rPr>
              <w:t>« </w:t>
            </w:r>
            <w:r w:rsidR="0026798C">
              <w:rPr>
                <w:color w:val="FF0000"/>
              </w:rPr>
              <w:t>Comprendre</w:t>
            </w:r>
            <w:r w:rsidR="00040876">
              <w:rPr>
                <w:color w:val="FF0000"/>
              </w:rPr>
              <w:t> »</w:t>
            </w:r>
            <w:r w:rsidR="0026798C">
              <w:rPr>
                <w:color w:val="FF0000"/>
              </w:rPr>
              <w:t xml:space="preserve"> où les groupes caractéristiques et la nature des réactions sont à reconnaître.</w:t>
            </w:r>
          </w:p>
        </w:tc>
      </w:tr>
    </w:tbl>
    <w:p w:rsidR="00E221D8" w:rsidRDefault="00E221D8" w:rsidP="00E221D8">
      <w:pPr>
        <w:pStyle w:val="Paragraphedeliste"/>
        <w:ind w:left="360"/>
        <w:rPr>
          <w:b/>
          <w:sz w:val="24"/>
        </w:rPr>
      </w:pPr>
    </w:p>
    <w:p w:rsidR="000113A0" w:rsidRPr="002345B7" w:rsidRDefault="00E221D8" w:rsidP="00130A57">
      <w:pPr>
        <w:pStyle w:val="Paragraphedeliste"/>
        <w:numPr>
          <w:ilvl w:val="0"/>
          <w:numId w:val="1"/>
        </w:numPr>
        <w:rPr>
          <w:b/>
          <w:sz w:val="24"/>
        </w:rPr>
      </w:pPr>
      <w:r>
        <w:rPr>
          <w:b/>
          <w:sz w:val="24"/>
        </w:rPr>
        <w:t xml:space="preserve">Comprendre : lois et modèles </w:t>
      </w:r>
    </w:p>
    <w:tbl>
      <w:tblPr>
        <w:tblStyle w:val="Grilledutableau"/>
        <w:tblW w:w="0" w:type="auto"/>
        <w:tblLook w:val="04A0" w:firstRow="1" w:lastRow="0" w:firstColumn="1" w:lastColumn="0" w:noHBand="0" w:noVBand="1"/>
      </w:tblPr>
      <w:tblGrid>
        <w:gridCol w:w="4606"/>
        <w:gridCol w:w="4607"/>
      </w:tblGrid>
      <w:tr w:rsidR="00D454D4" w:rsidRPr="00492432" w:rsidTr="00F7348E">
        <w:tc>
          <w:tcPr>
            <w:tcW w:w="4606" w:type="dxa"/>
          </w:tcPr>
          <w:p w:rsidR="00D454D4" w:rsidRPr="00492432" w:rsidRDefault="00EC7E3D" w:rsidP="005B443E">
            <w:pPr>
              <w:rPr>
                <w:b/>
              </w:rPr>
            </w:pPr>
            <w:r w:rsidRPr="00492432">
              <w:rPr>
                <w:b/>
              </w:rPr>
              <w:t>Thèmes abordés</w:t>
            </w:r>
          </w:p>
        </w:tc>
        <w:tc>
          <w:tcPr>
            <w:tcW w:w="4607" w:type="dxa"/>
          </w:tcPr>
          <w:p w:rsidR="00D454D4" w:rsidRPr="00492432" w:rsidRDefault="00D454D4" w:rsidP="0097202E">
            <w:pPr>
              <w:rPr>
                <w:b/>
              </w:rPr>
            </w:pPr>
            <w:r w:rsidRPr="00492432">
              <w:rPr>
                <w:b/>
              </w:rPr>
              <w:t>Capacités à travailler en priorité</w:t>
            </w:r>
          </w:p>
        </w:tc>
      </w:tr>
      <w:tr w:rsidR="00D454D4" w:rsidRPr="00492432" w:rsidTr="00F7348E">
        <w:trPr>
          <w:trHeight w:val="720"/>
        </w:trPr>
        <w:tc>
          <w:tcPr>
            <w:tcW w:w="4606" w:type="dxa"/>
            <w:tcBorders>
              <w:bottom w:val="dashed" w:sz="4" w:space="0" w:color="auto"/>
            </w:tcBorders>
          </w:tcPr>
          <w:p w:rsidR="00EC7E3D" w:rsidRPr="00492432" w:rsidRDefault="009B5830" w:rsidP="009B5830">
            <w:pPr>
              <w:pStyle w:val="Default"/>
              <w:rPr>
                <w:rFonts w:asciiTheme="minorHAnsi" w:hAnsiTheme="minorHAnsi"/>
                <w:b/>
                <w:bCs/>
                <w:color w:val="AD1D72"/>
                <w:sz w:val="22"/>
                <w:szCs w:val="22"/>
              </w:rPr>
            </w:pPr>
            <w:r w:rsidRPr="00492432">
              <w:rPr>
                <w:rFonts w:asciiTheme="minorHAnsi" w:hAnsiTheme="minorHAnsi"/>
                <w:b/>
                <w:bCs/>
                <w:color w:val="AD1D72"/>
                <w:sz w:val="22"/>
                <w:szCs w:val="22"/>
              </w:rPr>
              <w:t>Temps, mouvement et évolution</w:t>
            </w:r>
          </w:p>
          <w:p w:rsidR="00C607F3" w:rsidRPr="00492432" w:rsidRDefault="00C607F3" w:rsidP="009B5830">
            <w:pPr>
              <w:pStyle w:val="Default"/>
              <w:rPr>
                <w:rFonts w:asciiTheme="minorHAnsi" w:hAnsiTheme="minorHAnsi"/>
                <w:b/>
                <w:bCs/>
                <w:color w:val="AD1D72"/>
                <w:sz w:val="22"/>
                <w:szCs w:val="22"/>
              </w:rPr>
            </w:pPr>
          </w:p>
          <w:p w:rsidR="009B5830" w:rsidRPr="00492432" w:rsidRDefault="009B5830" w:rsidP="00223F00">
            <w:pPr>
              <w:pStyle w:val="Default"/>
              <w:rPr>
                <w:rFonts w:asciiTheme="minorHAnsi" w:hAnsiTheme="minorHAnsi"/>
                <w:sz w:val="22"/>
                <w:szCs w:val="22"/>
              </w:rPr>
            </w:pPr>
            <w:r w:rsidRPr="00492432">
              <w:rPr>
                <w:rFonts w:asciiTheme="minorHAnsi" w:hAnsiTheme="minorHAnsi"/>
                <w:bCs/>
                <w:sz w:val="22"/>
                <w:szCs w:val="22"/>
              </w:rPr>
              <w:t>Temps, cinématique et dynamique</w:t>
            </w:r>
          </w:p>
        </w:tc>
        <w:tc>
          <w:tcPr>
            <w:tcW w:w="4607" w:type="dxa"/>
            <w:tcBorders>
              <w:bottom w:val="dashed" w:sz="4" w:space="0" w:color="auto"/>
            </w:tcBorders>
          </w:tcPr>
          <w:p w:rsidR="00223F00" w:rsidRDefault="00223F00" w:rsidP="00223F00">
            <w:pPr>
              <w:autoSpaceDE w:val="0"/>
              <w:autoSpaceDN w:val="0"/>
              <w:adjustRightInd w:val="0"/>
              <w:rPr>
                <w:rFonts w:ascii="Arial" w:hAnsi="Arial" w:cs="Arial"/>
                <w:sz w:val="20"/>
                <w:szCs w:val="20"/>
              </w:rPr>
            </w:pPr>
          </w:p>
          <w:p w:rsidR="00223F00" w:rsidRDefault="00223F00" w:rsidP="00223F00">
            <w:pPr>
              <w:autoSpaceDE w:val="0"/>
              <w:autoSpaceDN w:val="0"/>
              <w:adjustRightInd w:val="0"/>
              <w:rPr>
                <w:rFonts w:ascii="Arial" w:hAnsi="Arial" w:cs="Arial"/>
                <w:sz w:val="20"/>
                <w:szCs w:val="20"/>
              </w:rPr>
            </w:pPr>
          </w:p>
          <w:p w:rsidR="002107FC" w:rsidRDefault="002107FC" w:rsidP="00223F00">
            <w:pPr>
              <w:autoSpaceDE w:val="0"/>
              <w:autoSpaceDN w:val="0"/>
              <w:adjustRightInd w:val="0"/>
              <w:rPr>
                <w:rFonts w:cs="Arial"/>
              </w:rPr>
            </w:pPr>
            <w:r>
              <w:rPr>
                <w:rFonts w:cs="Arial"/>
              </w:rPr>
              <w:t xml:space="preserve">Choisir un référentiel d’étude et effectuer un bilan des actions extérieures </w:t>
            </w:r>
          </w:p>
          <w:p w:rsidR="00EF73FE" w:rsidRPr="00223F00" w:rsidRDefault="00223F00" w:rsidP="00223F00">
            <w:pPr>
              <w:autoSpaceDE w:val="0"/>
              <w:autoSpaceDN w:val="0"/>
              <w:adjustRightInd w:val="0"/>
              <w:rPr>
                <w:rFonts w:cs="Arial"/>
              </w:rPr>
            </w:pPr>
            <w:r w:rsidRPr="00223F00">
              <w:rPr>
                <w:rFonts w:cs="Arial"/>
              </w:rPr>
              <w:t xml:space="preserve">Donner les caractéristiques </w:t>
            </w:r>
            <w:proofErr w:type="gramStart"/>
            <w:r w:rsidRPr="00223F00">
              <w:rPr>
                <w:rFonts w:cs="Arial"/>
              </w:rPr>
              <w:t>du vecteur</w:t>
            </w:r>
            <w:proofErr w:type="gramEnd"/>
            <w:r w:rsidRPr="00223F00">
              <w:rPr>
                <w:rFonts w:cs="Arial"/>
              </w:rPr>
              <w:t xml:space="preserve"> accélération pour un mouvement rectiligne ou circulaire</w:t>
            </w:r>
          </w:p>
          <w:p w:rsidR="00223F00" w:rsidRPr="00223F00" w:rsidRDefault="00223F00" w:rsidP="00223F00">
            <w:pPr>
              <w:autoSpaceDE w:val="0"/>
              <w:autoSpaceDN w:val="0"/>
              <w:adjustRightInd w:val="0"/>
              <w:rPr>
                <w:rFonts w:cs="Arial"/>
              </w:rPr>
            </w:pPr>
            <w:r w:rsidRPr="00223F00">
              <w:rPr>
                <w:rFonts w:cs="Arial"/>
              </w:rPr>
              <w:t>Mettre en œuvre les trois lois de Newton pour étudier des mouvements dans des</w:t>
            </w:r>
          </w:p>
          <w:p w:rsidR="00223F00" w:rsidRPr="00223F00" w:rsidRDefault="00223F00" w:rsidP="00223F00">
            <w:pPr>
              <w:autoSpaceDE w:val="0"/>
              <w:autoSpaceDN w:val="0"/>
              <w:adjustRightInd w:val="0"/>
              <w:rPr>
                <w:rFonts w:cs="Arial"/>
              </w:rPr>
            </w:pPr>
            <w:r w:rsidRPr="00223F00">
              <w:rPr>
                <w:rFonts w:cs="Arial"/>
              </w:rPr>
              <w:t>champs de pesanteur et électrostatique uniformes</w:t>
            </w:r>
          </w:p>
          <w:p w:rsidR="00223F00" w:rsidRPr="00223F00" w:rsidRDefault="00040876" w:rsidP="00223F00">
            <w:pPr>
              <w:autoSpaceDE w:val="0"/>
              <w:autoSpaceDN w:val="0"/>
              <w:adjustRightInd w:val="0"/>
              <w:rPr>
                <w:rFonts w:cs="Arial"/>
              </w:rPr>
            </w:pPr>
            <w:r>
              <w:rPr>
                <w:rFonts w:cs="Arial"/>
              </w:rPr>
              <w:t>É</w:t>
            </w:r>
            <w:r w:rsidR="00223F00" w:rsidRPr="00223F00">
              <w:rPr>
                <w:rFonts w:cs="Arial"/>
              </w:rPr>
              <w:t>tudier le mouvement d</w:t>
            </w:r>
            <w:r w:rsidR="00223F00">
              <w:rPr>
                <w:rFonts w:cs="Arial"/>
              </w:rPr>
              <w:t xml:space="preserve">’un </w:t>
            </w:r>
            <w:r w:rsidR="00223F00" w:rsidRPr="00223F00">
              <w:rPr>
                <w:rFonts w:cs="Arial"/>
              </w:rPr>
              <w:t>satellite ou d’une planète dans le cas de l’approximation d’une trajectoire circulaire</w:t>
            </w:r>
          </w:p>
          <w:p w:rsidR="00223F00" w:rsidRPr="00223F00" w:rsidRDefault="00040876" w:rsidP="00223F00">
            <w:pPr>
              <w:autoSpaceDE w:val="0"/>
              <w:autoSpaceDN w:val="0"/>
              <w:adjustRightInd w:val="0"/>
              <w:rPr>
                <w:rFonts w:cs="AGaramondPro-Regular"/>
              </w:rPr>
            </w:pPr>
            <w:r>
              <w:rPr>
                <w:rFonts w:cs="Arial"/>
              </w:rPr>
              <w:t>Énoncer</w:t>
            </w:r>
            <w:r w:rsidR="00223F00" w:rsidRPr="00223F00">
              <w:rPr>
                <w:rFonts w:cs="Arial"/>
              </w:rPr>
              <w:t xml:space="preserve"> et exploiter les trois lois de Kepler</w:t>
            </w:r>
          </w:p>
        </w:tc>
      </w:tr>
      <w:tr w:rsidR="00C607F3" w:rsidRPr="00492432" w:rsidTr="00F7348E">
        <w:trPr>
          <w:trHeight w:val="685"/>
        </w:trPr>
        <w:tc>
          <w:tcPr>
            <w:tcW w:w="4606" w:type="dxa"/>
            <w:tcBorders>
              <w:top w:val="dashed" w:sz="4" w:space="0" w:color="auto"/>
              <w:bottom w:val="dashed" w:sz="4" w:space="0" w:color="auto"/>
            </w:tcBorders>
          </w:tcPr>
          <w:p w:rsidR="00C607F3" w:rsidRPr="00492432" w:rsidRDefault="00C607F3" w:rsidP="00223F00">
            <w:pPr>
              <w:pStyle w:val="Default"/>
              <w:rPr>
                <w:rFonts w:asciiTheme="minorHAnsi" w:hAnsiTheme="minorHAnsi"/>
                <w:bCs/>
                <w:color w:val="AD1D72"/>
                <w:sz w:val="22"/>
                <w:szCs w:val="22"/>
              </w:rPr>
            </w:pPr>
            <w:r w:rsidRPr="00492432">
              <w:rPr>
                <w:rFonts w:asciiTheme="minorHAnsi" w:hAnsiTheme="minorHAnsi"/>
                <w:bCs/>
                <w:sz w:val="22"/>
                <w:szCs w:val="22"/>
              </w:rPr>
              <w:t>Mesure du temps et oscillateur, amortissement newtoniennes</w:t>
            </w:r>
          </w:p>
        </w:tc>
        <w:tc>
          <w:tcPr>
            <w:tcW w:w="4607" w:type="dxa"/>
            <w:tcBorders>
              <w:top w:val="dashed" w:sz="4" w:space="0" w:color="auto"/>
              <w:bottom w:val="dashed" w:sz="4" w:space="0" w:color="auto"/>
            </w:tcBorders>
          </w:tcPr>
          <w:p w:rsidR="00C607F3" w:rsidRPr="00AC3778" w:rsidRDefault="00223F00" w:rsidP="00223F00">
            <w:pPr>
              <w:autoSpaceDE w:val="0"/>
              <w:autoSpaceDN w:val="0"/>
              <w:adjustRightInd w:val="0"/>
              <w:rPr>
                <w:rFonts w:cs="Arial"/>
                <w:szCs w:val="20"/>
              </w:rPr>
            </w:pPr>
            <w:r w:rsidRPr="00AC3778">
              <w:rPr>
                <w:rFonts w:cs="Arial"/>
                <w:szCs w:val="20"/>
              </w:rPr>
              <w:t>Étab</w:t>
            </w:r>
            <w:r w:rsidR="00AC3778">
              <w:rPr>
                <w:rFonts w:cs="Arial"/>
                <w:szCs w:val="20"/>
              </w:rPr>
              <w:t>lir et exploiter l’expression</w:t>
            </w:r>
            <w:r w:rsidRPr="00AC3778">
              <w:rPr>
                <w:rFonts w:cs="Arial"/>
                <w:szCs w:val="20"/>
              </w:rPr>
              <w:t xml:space="preserve"> du travail d’une force constante</w:t>
            </w:r>
          </w:p>
          <w:p w:rsidR="00AC3778" w:rsidRPr="00AC3778" w:rsidRDefault="00AC3778" w:rsidP="00AC3778">
            <w:pPr>
              <w:autoSpaceDE w:val="0"/>
              <w:autoSpaceDN w:val="0"/>
              <w:adjustRightInd w:val="0"/>
              <w:rPr>
                <w:rFonts w:cs="Arial"/>
                <w:szCs w:val="20"/>
              </w:rPr>
            </w:pPr>
            <w:r w:rsidRPr="00AC3778">
              <w:rPr>
                <w:rFonts w:cs="Arial"/>
                <w:szCs w:val="20"/>
              </w:rPr>
              <w:t>Analyser les transferts énergétiques au cours d’un mouvement d’un point matériel à l’aide de l’énergie mécanique</w:t>
            </w:r>
          </w:p>
        </w:tc>
      </w:tr>
      <w:tr w:rsidR="00C607F3" w:rsidRPr="00492432" w:rsidTr="00F7348E">
        <w:trPr>
          <w:trHeight w:val="484"/>
        </w:trPr>
        <w:tc>
          <w:tcPr>
            <w:tcW w:w="4606" w:type="dxa"/>
            <w:tcBorders>
              <w:top w:val="dashed" w:sz="4" w:space="0" w:color="auto"/>
              <w:bottom w:val="dashed" w:sz="4" w:space="0" w:color="auto"/>
            </w:tcBorders>
          </w:tcPr>
          <w:p w:rsidR="00C607F3" w:rsidRPr="00492432" w:rsidRDefault="00C607F3" w:rsidP="00223F00">
            <w:pPr>
              <w:pStyle w:val="Default"/>
              <w:rPr>
                <w:rFonts w:asciiTheme="minorHAnsi" w:hAnsiTheme="minorHAnsi"/>
                <w:bCs/>
                <w:sz w:val="22"/>
                <w:szCs w:val="22"/>
              </w:rPr>
            </w:pPr>
            <w:r w:rsidRPr="00492432">
              <w:rPr>
                <w:rFonts w:asciiTheme="minorHAnsi" w:hAnsiTheme="minorHAnsi"/>
                <w:bCs/>
                <w:sz w:val="22"/>
                <w:szCs w:val="22"/>
              </w:rPr>
              <w:t>Temps et relativité restreinte</w:t>
            </w:r>
          </w:p>
        </w:tc>
        <w:tc>
          <w:tcPr>
            <w:tcW w:w="4607" w:type="dxa"/>
            <w:tcBorders>
              <w:top w:val="dashed" w:sz="4" w:space="0" w:color="auto"/>
              <w:bottom w:val="dashed" w:sz="4" w:space="0" w:color="auto"/>
            </w:tcBorders>
          </w:tcPr>
          <w:p w:rsidR="00C607F3" w:rsidRPr="00492432" w:rsidRDefault="00C607F3" w:rsidP="00C473E6">
            <w:pPr>
              <w:autoSpaceDE w:val="0"/>
              <w:autoSpaceDN w:val="0"/>
              <w:adjustRightInd w:val="0"/>
              <w:rPr>
                <w:rFonts w:cs="AGaramondPro-Regular"/>
              </w:rPr>
            </w:pPr>
          </w:p>
        </w:tc>
      </w:tr>
      <w:tr w:rsidR="00F7348E" w:rsidRPr="00492432" w:rsidTr="00DA473D">
        <w:trPr>
          <w:trHeight w:val="484"/>
        </w:trPr>
        <w:tc>
          <w:tcPr>
            <w:tcW w:w="9213" w:type="dxa"/>
            <w:gridSpan w:val="2"/>
            <w:tcBorders>
              <w:top w:val="dashed" w:sz="4" w:space="0" w:color="auto"/>
              <w:bottom w:val="dashed" w:sz="4" w:space="0" w:color="auto"/>
            </w:tcBorders>
          </w:tcPr>
          <w:p w:rsidR="00F7348E" w:rsidRPr="00492432" w:rsidRDefault="00F7348E" w:rsidP="002530F5">
            <w:pPr>
              <w:autoSpaceDE w:val="0"/>
              <w:autoSpaceDN w:val="0"/>
              <w:adjustRightInd w:val="0"/>
              <w:rPr>
                <w:rFonts w:cs="AGaramondPro-Regular"/>
              </w:rPr>
            </w:pPr>
            <w:r w:rsidRPr="00492432">
              <w:rPr>
                <w:b/>
                <w:color w:val="FF0000"/>
                <w:u w:val="single"/>
              </w:rPr>
              <w:t>Conseil </w:t>
            </w:r>
            <w:r w:rsidRPr="00492432">
              <w:rPr>
                <w:color w:val="FF0000"/>
              </w:rPr>
              <w:t>:</w:t>
            </w:r>
            <w:r w:rsidR="00223F00">
              <w:rPr>
                <w:color w:val="FF0000"/>
              </w:rPr>
              <w:t xml:space="preserve"> </w:t>
            </w:r>
            <w:r w:rsidR="00AC3778">
              <w:rPr>
                <w:color w:val="FF0000"/>
              </w:rPr>
              <w:t xml:space="preserve">dans ce programme de mécanique </w:t>
            </w:r>
            <w:r w:rsidR="00223F00">
              <w:rPr>
                <w:color w:val="FF0000"/>
              </w:rPr>
              <w:t xml:space="preserve">l’accent est </w:t>
            </w:r>
            <w:r w:rsidR="00AC3778">
              <w:rPr>
                <w:color w:val="FF0000"/>
              </w:rPr>
              <w:t xml:space="preserve">résolument porté </w:t>
            </w:r>
            <w:r w:rsidR="00223F00">
              <w:rPr>
                <w:color w:val="FF0000"/>
              </w:rPr>
              <w:t>sur les fondamentaux spécifiquement utiles à la poursuite d’</w:t>
            </w:r>
            <w:r w:rsidR="00AC3778">
              <w:rPr>
                <w:color w:val="FF0000"/>
              </w:rPr>
              <w:t>étude scientifique dans le supérieur</w:t>
            </w:r>
            <w:r w:rsidR="002530F5">
              <w:rPr>
                <w:color w:val="FF0000"/>
              </w:rPr>
              <w:t>. L’apprentissage d’éléments de physique « moderne » peut être différé.</w:t>
            </w:r>
            <w:r w:rsidR="00AC3778">
              <w:rPr>
                <w:color w:val="FF0000"/>
              </w:rPr>
              <w:t xml:space="preserve"> </w:t>
            </w:r>
            <w:r w:rsidR="00223F00">
              <w:rPr>
                <w:color w:val="FF0000"/>
              </w:rPr>
              <w:t xml:space="preserve"> </w:t>
            </w:r>
          </w:p>
        </w:tc>
      </w:tr>
      <w:tr w:rsidR="00C607F3" w:rsidRPr="00492432" w:rsidTr="00F7348E">
        <w:trPr>
          <w:trHeight w:val="652"/>
        </w:trPr>
        <w:tc>
          <w:tcPr>
            <w:tcW w:w="4606" w:type="dxa"/>
            <w:tcBorders>
              <w:top w:val="dashed" w:sz="4" w:space="0" w:color="auto"/>
              <w:bottom w:val="dashed" w:sz="4" w:space="0" w:color="auto"/>
            </w:tcBorders>
          </w:tcPr>
          <w:p w:rsidR="00C607F3" w:rsidRPr="00492432" w:rsidRDefault="00C607F3" w:rsidP="00D140D3">
            <w:pPr>
              <w:pStyle w:val="Default"/>
              <w:rPr>
                <w:rFonts w:asciiTheme="minorHAnsi" w:hAnsiTheme="minorHAnsi"/>
                <w:bCs/>
                <w:sz w:val="22"/>
                <w:szCs w:val="22"/>
              </w:rPr>
            </w:pPr>
            <w:r w:rsidRPr="00492432">
              <w:rPr>
                <w:rFonts w:asciiTheme="minorHAnsi" w:hAnsiTheme="minorHAnsi"/>
                <w:bCs/>
                <w:sz w:val="22"/>
                <w:szCs w:val="22"/>
              </w:rPr>
              <w:t xml:space="preserve">Temps et évolution chimique : cinétique et catalyse </w:t>
            </w:r>
          </w:p>
        </w:tc>
        <w:tc>
          <w:tcPr>
            <w:tcW w:w="4607" w:type="dxa"/>
            <w:tcBorders>
              <w:top w:val="dashed" w:sz="4" w:space="0" w:color="auto"/>
              <w:bottom w:val="dashed" w:sz="4" w:space="0" w:color="auto"/>
            </w:tcBorders>
          </w:tcPr>
          <w:p w:rsidR="00D140D3" w:rsidRDefault="00D140D3" w:rsidP="00C473E6">
            <w:pPr>
              <w:autoSpaceDE w:val="0"/>
              <w:autoSpaceDN w:val="0"/>
              <w:adjustRightInd w:val="0"/>
              <w:rPr>
                <w:rFonts w:cs="AGaramondPro-Regular"/>
              </w:rPr>
            </w:pPr>
            <w:r>
              <w:rPr>
                <w:rFonts w:cs="AGaramondPro-Regular"/>
              </w:rPr>
              <w:t>Reconnaître des expériences permettant de mettre en évidence des paramètres d’influence (concentration, température) et de catalyseurs</w:t>
            </w:r>
          </w:p>
          <w:p w:rsidR="00D140D3" w:rsidRPr="00492432" w:rsidRDefault="00D140D3" w:rsidP="00C473E6">
            <w:pPr>
              <w:autoSpaceDE w:val="0"/>
              <w:autoSpaceDN w:val="0"/>
              <w:adjustRightInd w:val="0"/>
              <w:rPr>
                <w:rFonts w:cs="AGaramondPro-Regular"/>
              </w:rPr>
            </w:pPr>
            <w:r>
              <w:rPr>
                <w:rFonts w:cs="AGaramondPro-Regular"/>
              </w:rPr>
              <w:t>Déterminer un temps de demi-réaction</w:t>
            </w:r>
          </w:p>
        </w:tc>
      </w:tr>
      <w:tr w:rsidR="000723ED" w:rsidRPr="00492432" w:rsidTr="00F7348E">
        <w:tc>
          <w:tcPr>
            <w:tcW w:w="9213" w:type="dxa"/>
            <w:gridSpan w:val="2"/>
            <w:tcBorders>
              <w:top w:val="dashed" w:sz="4" w:space="0" w:color="auto"/>
            </w:tcBorders>
          </w:tcPr>
          <w:p w:rsidR="000723ED" w:rsidRPr="00492432" w:rsidRDefault="000723ED" w:rsidP="0025542C">
            <w:pPr>
              <w:rPr>
                <w:color w:val="FF0000"/>
              </w:rPr>
            </w:pPr>
            <w:r w:rsidRPr="00492432">
              <w:rPr>
                <w:b/>
                <w:color w:val="FF0000"/>
                <w:u w:val="single"/>
              </w:rPr>
              <w:t>Conseil </w:t>
            </w:r>
            <w:r w:rsidRPr="00492432">
              <w:rPr>
                <w:color w:val="FF0000"/>
              </w:rPr>
              <w:t>:</w:t>
            </w:r>
            <w:r w:rsidR="00EF73FE" w:rsidRPr="00492432">
              <w:rPr>
                <w:color w:val="FF0000"/>
              </w:rPr>
              <w:t xml:space="preserve"> </w:t>
            </w:r>
            <w:r w:rsidR="0025542C">
              <w:rPr>
                <w:color w:val="FF0000"/>
              </w:rPr>
              <w:t>c</w:t>
            </w:r>
            <w:r w:rsidR="00D140D3">
              <w:rPr>
                <w:color w:val="FF0000"/>
              </w:rPr>
              <w:t xml:space="preserve">ette première approche de l’évolution cinétique d’une transformation chimique </w:t>
            </w:r>
            <w:r w:rsidR="0025542C">
              <w:rPr>
                <w:color w:val="FF0000"/>
              </w:rPr>
              <w:t>est</w:t>
            </w:r>
            <w:r w:rsidR="00D140D3">
              <w:rPr>
                <w:color w:val="FF0000"/>
              </w:rPr>
              <w:t xml:space="preserve"> qualitative et l’objectif essentiel est d’identifier les facteurs d’influence et le rôle des catalyseurs.</w:t>
            </w:r>
          </w:p>
        </w:tc>
      </w:tr>
      <w:tr w:rsidR="00D454D4" w:rsidRPr="00492432" w:rsidTr="00F7348E">
        <w:trPr>
          <w:trHeight w:val="951"/>
        </w:trPr>
        <w:tc>
          <w:tcPr>
            <w:tcW w:w="4606" w:type="dxa"/>
            <w:tcBorders>
              <w:bottom w:val="dashed" w:sz="4" w:space="0" w:color="auto"/>
            </w:tcBorders>
          </w:tcPr>
          <w:p w:rsidR="00D454D4" w:rsidRPr="00492432" w:rsidRDefault="009B5830" w:rsidP="00E221D8">
            <w:pPr>
              <w:pStyle w:val="Default"/>
              <w:rPr>
                <w:rFonts w:asciiTheme="minorHAnsi" w:hAnsiTheme="minorHAnsi"/>
                <w:b/>
                <w:bCs/>
                <w:color w:val="AD1D72"/>
                <w:sz w:val="22"/>
                <w:szCs w:val="22"/>
              </w:rPr>
            </w:pPr>
            <w:r w:rsidRPr="00492432">
              <w:rPr>
                <w:rFonts w:asciiTheme="minorHAnsi" w:hAnsiTheme="minorHAnsi"/>
                <w:b/>
                <w:bCs/>
                <w:color w:val="AD1D72"/>
                <w:sz w:val="22"/>
                <w:szCs w:val="22"/>
              </w:rPr>
              <w:t xml:space="preserve">Structure et transformation de la matière </w:t>
            </w:r>
          </w:p>
          <w:p w:rsidR="009B5830" w:rsidRPr="00492432" w:rsidRDefault="009B5830" w:rsidP="00E221D8">
            <w:pPr>
              <w:pStyle w:val="Default"/>
              <w:rPr>
                <w:rFonts w:asciiTheme="minorHAnsi" w:hAnsiTheme="minorHAnsi"/>
                <w:sz w:val="22"/>
                <w:szCs w:val="22"/>
              </w:rPr>
            </w:pPr>
            <w:r w:rsidRPr="00492432">
              <w:rPr>
                <w:rFonts w:asciiTheme="minorHAnsi" w:hAnsiTheme="minorHAnsi"/>
                <w:bCs/>
                <w:sz w:val="22"/>
                <w:szCs w:val="22"/>
              </w:rPr>
              <w:t>Représentation spatiale des molécules</w:t>
            </w:r>
          </w:p>
        </w:tc>
        <w:tc>
          <w:tcPr>
            <w:tcW w:w="4607" w:type="dxa"/>
            <w:tcBorders>
              <w:bottom w:val="dashed" w:sz="4" w:space="0" w:color="auto"/>
            </w:tcBorders>
          </w:tcPr>
          <w:p w:rsidR="0046413D" w:rsidRDefault="0046413D" w:rsidP="00F11D51"/>
          <w:p w:rsidR="004F3647" w:rsidRDefault="00D140D3" w:rsidP="00F11D51">
            <w:r>
              <w:t>Identifier un carbone asymétrique</w:t>
            </w:r>
          </w:p>
          <w:p w:rsidR="00D140D3" w:rsidRPr="00492432" w:rsidRDefault="00D140D3" w:rsidP="00F11D51">
            <w:r>
              <w:t xml:space="preserve">Reconnaître, à l’aide de modèles ou de représentations, des molécules identiques ; énantiomères et </w:t>
            </w:r>
            <w:proofErr w:type="spellStart"/>
            <w:r>
              <w:t>stéréoisomères</w:t>
            </w:r>
            <w:proofErr w:type="spellEnd"/>
          </w:p>
        </w:tc>
      </w:tr>
      <w:tr w:rsidR="00F7348E" w:rsidRPr="00492432" w:rsidTr="00F7348E">
        <w:trPr>
          <w:trHeight w:val="516"/>
        </w:trPr>
        <w:tc>
          <w:tcPr>
            <w:tcW w:w="4606" w:type="dxa"/>
            <w:tcBorders>
              <w:top w:val="dashed" w:sz="4" w:space="0" w:color="auto"/>
              <w:bottom w:val="dashed" w:sz="4" w:space="0" w:color="auto"/>
            </w:tcBorders>
          </w:tcPr>
          <w:p w:rsidR="00F7348E" w:rsidRPr="00492432" w:rsidRDefault="00F7348E" w:rsidP="00E221D8">
            <w:pPr>
              <w:pStyle w:val="Default"/>
              <w:rPr>
                <w:rFonts w:asciiTheme="minorHAnsi" w:hAnsiTheme="minorHAnsi"/>
                <w:bCs/>
                <w:sz w:val="22"/>
                <w:szCs w:val="22"/>
              </w:rPr>
            </w:pPr>
            <w:r w:rsidRPr="00492432">
              <w:rPr>
                <w:rFonts w:asciiTheme="minorHAnsi" w:hAnsiTheme="minorHAnsi"/>
                <w:bCs/>
                <w:sz w:val="22"/>
                <w:szCs w:val="22"/>
              </w:rPr>
              <w:lastRenderedPageBreak/>
              <w:t>Transformation en chimie organique</w:t>
            </w:r>
          </w:p>
          <w:p w:rsidR="00F7348E" w:rsidRPr="0025542C" w:rsidRDefault="004816FB" w:rsidP="00E221D8">
            <w:pPr>
              <w:pStyle w:val="Default"/>
              <w:rPr>
                <w:rFonts w:asciiTheme="minorHAnsi" w:hAnsiTheme="minorHAnsi"/>
                <w:bCs/>
                <w:color w:val="AD1D72"/>
                <w:sz w:val="22"/>
                <w:szCs w:val="22"/>
              </w:rPr>
            </w:pPr>
            <w:r w:rsidRPr="0025542C">
              <w:rPr>
                <w:rFonts w:asciiTheme="minorHAnsi" w:hAnsiTheme="minorHAnsi"/>
                <w:bCs/>
                <w:color w:val="auto"/>
                <w:sz w:val="22"/>
                <w:szCs w:val="22"/>
              </w:rPr>
              <w:t>Aspects macroscopiques</w:t>
            </w: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Pr="0025542C" w:rsidRDefault="00290958" w:rsidP="00E221D8">
            <w:pPr>
              <w:pStyle w:val="Default"/>
              <w:rPr>
                <w:rFonts w:asciiTheme="minorHAnsi" w:hAnsiTheme="minorHAnsi"/>
                <w:bCs/>
                <w:color w:val="AD1D72"/>
                <w:sz w:val="22"/>
                <w:szCs w:val="22"/>
              </w:rPr>
            </w:pPr>
            <w:r w:rsidRPr="0025542C">
              <w:rPr>
                <w:rFonts w:asciiTheme="minorHAnsi" w:hAnsiTheme="minorHAnsi"/>
                <w:bCs/>
                <w:color w:val="auto"/>
                <w:sz w:val="22"/>
                <w:szCs w:val="22"/>
              </w:rPr>
              <w:t>Aspects microscopiques</w:t>
            </w:r>
          </w:p>
        </w:tc>
        <w:tc>
          <w:tcPr>
            <w:tcW w:w="4607" w:type="dxa"/>
            <w:tcBorders>
              <w:top w:val="dashed" w:sz="4" w:space="0" w:color="auto"/>
              <w:bottom w:val="dashed" w:sz="4" w:space="0" w:color="auto"/>
            </w:tcBorders>
          </w:tcPr>
          <w:p w:rsidR="004816FB" w:rsidRDefault="004816FB" w:rsidP="004816FB"/>
          <w:p w:rsidR="00F7348E" w:rsidRDefault="004816FB" w:rsidP="004816FB">
            <w:r>
              <w:t xml:space="preserve">Reconnaître les groupes caractéristiques dans </w:t>
            </w:r>
            <w:proofErr w:type="gramStart"/>
            <w:r>
              <w:t>les alcool</w:t>
            </w:r>
            <w:proofErr w:type="gramEnd"/>
            <w:r>
              <w:t>, aldéhyde, cétone, acide ca</w:t>
            </w:r>
            <w:r w:rsidR="0025542C">
              <w:t>rboxylique, ester, amine, amide</w:t>
            </w:r>
          </w:p>
          <w:p w:rsidR="004816FB" w:rsidRDefault="004816FB" w:rsidP="004816FB">
            <w:r w:rsidRPr="004816FB">
              <w:t>Déterminer la catégorie d’une réaction (substitution, addition, élimination)</w:t>
            </w:r>
          </w:p>
          <w:p w:rsidR="004816FB" w:rsidRPr="00290958" w:rsidRDefault="004816FB" w:rsidP="004816FB">
            <w:r w:rsidRPr="00290958">
              <w:t>Pour une ou plusieurs étapes d’un mécanisme</w:t>
            </w:r>
          </w:p>
          <w:p w:rsidR="004816FB" w:rsidRPr="004816FB" w:rsidRDefault="004816FB" w:rsidP="004816FB">
            <w:pPr>
              <w:rPr>
                <w:rFonts w:ascii="Arial" w:hAnsi="Arial" w:cs="Arial"/>
                <w:sz w:val="20"/>
                <w:szCs w:val="20"/>
              </w:rPr>
            </w:pPr>
            <w:r w:rsidRPr="00290958">
              <w:t>réactionnel donné, relier par une flèche courbe les sites donneur et accepteur en vue d’expliquer la form</w:t>
            </w:r>
            <w:r w:rsidR="0025542C">
              <w:t>ation ou la rupture de liaisons</w:t>
            </w:r>
          </w:p>
        </w:tc>
      </w:tr>
      <w:tr w:rsidR="00F7348E" w:rsidRPr="00492432" w:rsidTr="00F7348E">
        <w:trPr>
          <w:trHeight w:val="394"/>
        </w:trPr>
        <w:tc>
          <w:tcPr>
            <w:tcW w:w="4606" w:type="dxa"/>
            <w:tcBorders>
              <w:top w:val="dashed" w:sz="4" w:space="0" w:color="auto"/>
            </w:tcBorders>
          </w:tcPr>
          <w:p w:rsidR="00F7348E" w:rsidRPr="00492432" w:rsidRDefault="00F7348E" w:rsidP="00E221D8">
            <w:pPr>
              <w:pStyle w:val="Default"/>
              <w:rPr>
                <w:rFonts w:asciiTheme="minorHAnsi" w:hAnsiTheme="minorHAnsi"/>
                <w:bCs/>
                <w:sz w:val="22"/>
                <w:szCs w:val="22"/>
              </w:rPr>
            </w:pPr>
            <w:r w:rsidRPr="00492432">
              <w:rPr>
                <w:rFonts w:asciiTheme="minorHAnsi" w:hAnsiTheme="minorHAnsi"/>
                <w:bCs/>
                <w:sz w:val="22"/>
                <w:szCs w:val="22"/>
              </w:rPr>
              <w:t>Réaction chimique par échange de proton</w:t>
            </w:r>
          </w:p>
        </w:tc>
        <w:tc>
          <w:tcPr>
            <w:tcW w:w="4607" w:type="dxa"/>
            <w:tcBorders>
              <w:top w:val="dashed" w:sz="4" w:space="0" w:color="auto"/>
            </w:tcBorders>
          </w:tcPr>
          <w:p w:rsidR="00290958" w:rsidRPr="00290958" w:rsidRDefault="00290958" w:rsidP="00290958">
            <w:r w:rsidRPr="00290958">
              <w:t xml:space="preserve">Reconnaître un acide, une base dans la théorie de </w:t>
            </w:r>
            <w:proofErr w:type="spellStart"/>
            <w:r w:rsidRPr="00290958">
              <w:t>Brönsted</w:t>
            </w:r>
            <w:proofErr w:type="spellEnd"/>
            <w:r w:rsidRPr="00290958">
              <w:t>.</w:t>
            </w:r>
          </w:p>
          <w:p w:rsidR="00F7348E" w:rsidRDefault="00290958" w:rsidP="00290958">
            <w:r w:rsidRPr="00290958">
              <w:t>Identifier l’espèce prédominante d’un couple acide-base connaissant le p</w:t>
            </w:r>
            <w:r w:rsidR="0025542C">
              <w:t xml:space="preserve">H du milieu et le </w:t>
            </w:r>
            <w:proofErr w:type="spellStart"/>
            <w:r w:rsidR="0025542C">
              <w:t>pKa</w:t>
            </w:r>
            <w:proofErr w:type="spellEnd"/>
            <w:r w:rsidR="0025542C">
              <w:t xml:space="preserve"> du couple</w:t>
            </w:r>
          </w:p>
          <w:p w:rsidR="00290958" w:rsidRPr="00290958" w:rsidRDefault="00290958" w:rsidP="00290958">
            <w:pPr>
              <w:rPr>
                <w:rFonts w:ascii="Arial" w:hAnsi="Arial" w:cs="Arial"/>
                <w:sz w:val="20"/>
                <w:szCs w:val="20"/>
              </w:rPr>
            </w:pPr>
            <w:r>
              <w:t xml:space="preserve">Identifier les couples acide-base mis en jeu </w:t>
            </w:r>
            <w:r w:rsidR="0025542C">
              <w:t>dans une réaction acido-basique</w:t>
            </w:r>
          </w:p>
        </w:tc>
      </w:tr>
      <w:tr w:rsidR="00F11D51" w:rsidRPr="00492432" w:rsidTr="00F7348E">
        <w:tc>
          <w:tcPr>
            <w:tcW w:w="9213" w:type="dxa"/>
            <w:gridSpan w:val="2"/>
          </w:tcPr>
          <w:p w:rsidR="00F11D51" w:rsidRPr="00492432" w:rsidRDefault="00F74591" w:rsidP="002B3BC5">
            <w:r w:rsidRPr="00492432">
              <w:rPr>
                <w:b/>
                <w:color w:val="FF0000"/>
                <w:u w:val="single"/>
              </w:rPr>
              <w:t>Conseil</w:t>
            </w:r>
            <w:r w:rsidR="00F11D51" w:rsidRPr="00492432">
              <w:rPr>
                <w:color w:val="FF0000"/>
              </w:rPr>
              <w:t> :</w:t>
            </w:r>
            <w:r w:rsidR="00614083" w:rsidRPr="00492432">
              <w:rPr>
                <w:color w:val="FF0000"/>
              </w:rPr>
              <w:t xml:space="preserve"> </w:t>
            </w:r>
            <w:r w:rsidR="0025542C">
              <w:rPr>
                <w:color w:val="FF0000"/>
              </w:rPr>
              <w:t>p</w:t>
            </w:r>
            <w:r w:rsidR="00290958">
              <w:rPr>
                <w:color w:val="FF0000"/>
              </w:rPr>
              <w:t xml:space="preserve">roposer des logiciels de </w:t>
            </w:r>
            <w:r w:rsidR="002B3BC5">
              <w:rPr>
                <w:color w:val="FF0000"/>
              </w:rPr>
              <w:t xml:space="preserve">représentation moléculaire pour </w:t>
            </w:r>
            <w:r w:rsidR="00290958">
              <w:rPr>
                <w:color w:val="FF0000"/>
              </w:rPr>
              <w:t xml:space="preserve">la partie organique et </w:t>
            </w:r>
            <w:r w:rsidR="002B3BC5">
              <w:rPr>
                <w:color w:val="FF0000"/>
              </w:rPr>
              <w:t>s’assurer au niveau acide-base que les notions essentielles sont bien acquises.</w:t>
            </w:r>
          </w:p>
        </w:tc>
      </w:tr>
      <w:tr w:rsidR="009B5830" w:rsidRPr="00492432" w:rsidTr="0025542C">
        <w:trPr>
          <w:trHeight w:val="587"/>
        </w:trPr>
        <w:tc>
          <w:tcPr>
            <w:tcW w:w="4606" w:type="dxa"/>
            <w:tcBorders>
              <w:bottom w:val="dashed" w:sz="4" w:space="0" w:color="auto"/>
            </w:tcBorders>
          </w:tcPr>
          <w:p w:rsidR="009B5830" w:rsidRPr="00492432" w:rsidRDefault="00C607F3" w:rsidP="00E221D8">
            <w:pPr>
              <w:rPr>
                <w:rFonts w:cs="Arial"/>
                <w:b/>
                <w:bCs/>
                <w:color w:val="AD1D72"/>
              </w:rPr>
            </w:pPr>
            <w:r w:rsidRPr="00492432">
              <w:rPr>
                <w:rFonts w:cs="Arial"/>
                <w:b/>
                <w:bCs/>
                <w:color w:val="AD1D72"/>
              </w:rPr>
              <w:t xml:space="preserve">Énergie, matière et rayonnement </w:t>
            </w:r>
          </w:p>
          <w:p w:rsidR="00C607F3" w:rsidRPr="00492432" w:rsidRDefault="00C607F3" w:rsidP="00E221D8">
            <w:pPr>
              <w:rPr>
                <w:b/>
                <w:color w:val="FF0000"/>
                <w:u w:val="single"/>
              </w:rPr>
            </w:pPr>
            <w:r w:rsidRPr="00492432">
              <w:rPr>
                <w:rFonts w:cs="Arial"/>
                <w:bCs/>
              </w:rPr>
              <w:t>Du macroscopique au microscopique</w:t>
            </w:r>
          </w:p>
        </w:tc>
        <w:tc>
          <w:tcPr>
            <w:tcW w:w="4607" w:type="dxa"/>
            <w:tcBorders>
              <w:bottom w:val="dashed" w:sz="4" w:space="0" w:color="auto"/>
            </w:tcBorders>
          </w:tcPr>
          <w:p w:rsidR="009B5830" w:rsidRPr="00492432" w:rsidRDefault="009B5830" w:rsidP="00E221D8">
            <w:pPr>
              <w:rPr>
                <w:b/>
                <w:color w:val="FF0000"/>
                <w:u w:val="single"/>
              </w:rPr>
            </w:pPr>
          </w:p>
        </w:tc>
      </w:tr>
      <w:tr w:rsidR="00492432" w:rsidRPr="00492432" w:rsidTr="00C75C97">
        <w:trPr>
          <w:trHeight w:val="561"/>
        </w:trPr>
        <w:tc>
          <w:tcPr>
            <w:tcW w:w="4606" w:type="dxa"/>
            <w:tcBorders>
              <w:top w:val="dashed" w:sz="4" w:space="0" w:color="auto"/>
              <w:bottom w:val="dashed" w:sz="4" w:space="0" w:color="auto"/>
            </w:tcBorders>
          </w:tcPr>
          <w:p w:rsidR="00492432" w:rsidRPr="00492432" w:rsidRDefault="00492432" w:rsidP="00E221D8">
            <w:pPr>
              <w:rPr>
                <w:rFonts w:cs="Arial"/>
                <w:b/>
                <w:bCs/>
                <w:color w:val="AD1D72"/>
              </w:rPr>
            </w:pPr>
            <w:r w:rsidRPr="00492432">
              <w:rPr>
                <w:rFonts w:cs="Arial,Bold"/>
                <w:bCs/>
              </w:rPr>
              <w:t>Transferts d’énergie entre systèmes macroscopiques</w:t>
            </w:r>
          </w:p>
        </w:tc>
        <w:tc>
          <w:tcPr>
            <w:tcW w:w="4607" w:type="dxa"/>
            <w:tcBorders>
              <w:top w:val="dashed" w:sz="4" w:space="0" w:color="auto"/>
              <w:bottom w:val="dashed" w:sz="4" w:space="0" w:color="auto"/>
            </w:tcBorders>
          </w:tcPr>
          <w:p w:rsidR="00492432" w:rsidRPr="00AC3778" w:rsidRDefault="00AC3778" w:rsidP="00AC3778">
            <w:pPr>
              <w:autoSpaceDE w:val="0"/>
              <w:autoSpaceDN w:val="0"/>
              <w:adjustRightInd w:val="0"/>
              <w:rPr>
                <w:rFonts w:cs="Arial"/>
              </w:rPr>
            </w:pPr>
            <w:r w:rsidRPr="00AC3778">
              <w:rPr>
                <w:rFonts w:cs="Arial"/>
              </w:rPr>
              <w:t>Connaître et exploiter la relation entre la variation d’énergie interne et la variation de température pour un corps dans un état condensé</w:t>
            </w:r>
          </w:p>
          <w:p w:rsidR="00AC3778" w:rsidRPr="00AC3778" w:rsidRDefault="00AC3778" w:rsidP="00AC3778">
            <w:pPr>
              <w:autoSpaceDE w:val="0"/>
              <w:autoSpaceDN w:val="0"/>
              <w:adjustRightInd w:val="0"/>
              <w:rPr>
                <w:rFonts w:cs="Arial"/>
              </w:rPr>
            </w:pPr>
            <w:r w:rsidRPr="00AC3778">
              <w:rPr>
                <w:rFonts w:cs="Arial"/>
              </w:rPr>
              <w:t>Exploiter la relation entre le flux thermique à travers une paroi plane et l’écart de température entre ses deux faces</w:t>
            </w:r>
          </w:p>
          <w:p w:rsidR="00AC3778" w:rsidRPr="00AC3778" w:rsidRDefault="00AC3778" w:rsidP="00AC3778">
            <w:pPr>
              <w:autoSpaceDE w:val="0"/>
              <w:autoSpaceDN w:val="0"/>
              <w:adjustRightInd w:val="0"/>
              <w:rPr>
                <w:rFonts w:ascii="Arial" w:hAnsi="Arial" w:cs="Arial"/>
                <w:sz w:val="20"/>
                <w:szCs w:val="20"/>
              </w:rPr>
            </w:pPr>
            <w:r w:rsidRPr="00AC3778">
              <w:rPr>
                <w:rFonts w:cs="Arial"/>
              </w:rPr>
              <w:t>Établir un bilan énergétique faisant intervenir transfert thermique et travail</w:t>
            </w:r>
          </w:p>
        </w:tc>
      </w:tr>
      <w:tr w:rsidR="00492432" w:rsidRPr="00492432" w:rsidTr="00C75C97">
        <w:trPr>
          <w:trHeight w:val="428"/>
        </w:trPr>
        <w:tc>
          <w:tcPr>
            <w:tcW w:w="4606" w:type="dxa"/>
            <w:tcBorders>
              <w:top w:val="dashed" w:sz="4" w:space="0" w:color="auto"/>
              <w:bottom w:val="dashed" w:sz="4" w:space="0" w:color="auto"/>
            </w:tcBorders>
          </w:tcPr>
          <w:p w:rsidR="00492432" w:rsidRPr="00492432" w:rsidRDefault="00492432" w:rsidP="00E221D8">
            <w:pPr>
              <w:rPr>
                <w:rFonts w:cs="Arial"/>
                <w:bCs/>
              </w:rPr>
            </w:pPr>
            <w:r w:rsidRPr="00492432">
              <w:rPr>
                <w:rFonts w:cs="Arial,Bold"/>
                <w:bCs/>
              </w:rPr>
              <w:t>Transferts quantiques d’énergie</w:t>
            </w:r>
          </w:p>
        </w:tc>
        <w:tc>
          <w:tcPr>
            <w:tcW w:w="4607" w:type="dxa"/>
            <w:tcBorders>
              <w:top w:val="dashed" w:sz="4" w:space="0" w:color="auto"/>
              <w:bottom w:val="dashed" w:sz="4" w:space="0" w:color="auto"/>
            </w:tcBorders>
          </w:tcPr>
          <w:p w:rsidR="00492432" w:rsidRPr="00492432" w:rsidRDefault="00492432" w:rsidP="00E221D8">
            <w:pPr>
              <w:rPr>
                <w:b/>
                <w:color w:val="FF0000"/>
                <w:u w:val="single"/>
              </w:rPr>
            </w:pPr>
          </w:p>
        </w:tc>
      </w:tr>
      <w:tr w:rsidR="00492432" w:rsidRPr="00492432" w:rsidTr="00C75C97">
        <w:trPr>
          <w:trHeight w:val="408"/>
        </w:trPr>
        <w:tc>
          <w:tcPr>
            <w:tcW w:w="4606" w:type="dxa"/>
            <w:tcBorders>
              <w:top w:val="dashed" w:sz="4" w:space="0" w:color="auto"/>
              <w:bottom w:val="single" w:sz="4" w:space="0" w:color="auto"/>
            </w:tcBorders>
          </w:tcPr>
          <w:p w:rsidR="00492432" w:rsidRPr="00492432" w:rsidRDefault="00492432" w:rsidP="00E221D8">
            <w:pPr>
              <w:rPr>
                <w:rFonts w:cs="Arial,Bold"/>
                <w:bCs/>
              </w:rPr>
            </w:pPr>
            <w:r w:rsidRPr="00492432">
              <w:rPr>
                <w:rFonts w:cs="Arial"/>
                <w:bCs/>
              </w:rPr>
              <w:t>Dualité onde-particule</w:t>
            </w:r>
          </w:p>
        </w:tc>
        <w:tc>
          <w:tcPr>
            <w:tcW w:w="4607" w:type="dxa"/>
            <w:tcBorders>
              <w:top w:val="dashed" w:sz="4" w:space="0" w:color="auto"/>
              <w:bottom w:val="single" w:sz="4" w:space="0" w:color="auto"/>
            </w:tcBorders>
          </w:tcPr>
          <w:p w:rsidR="00492432" w:rsidRPr="00492432" w:rsidRDefault="00492432" w:rsidP="00E221D8">
            <w:pPr>
              <w:rPr>
                <w:b/>
                <w:color w:val="FF0000"/>
                <w:u w:val="single"/>
              </w:rPr>
            </w:pPr>
          </w:p>
        </w:tc>
      </w:tr>
      <w:tr w:rsidR="00AC3778" w:rsidRPr="00492432" w:rsidTr="00F92968">
        <w:trPr>
          <w:trHeight w:val="408"/>
        </w:trPr>
        <w:tc>
          <w:tcPr>
            <w:tcW w:w="9213" w:type="dxa"/>
            <w:gridSpan w:val="2"/>
            <w:tcBorders>
              <w:top w:val="single" w:sz="4" w:space="0" w:color="auto"/>
            </w:tcBorders>
          </w:tcPr>
          <w:p w:rsidR="00AC3778" w:rsidRPr="00492432" w:rsidRDefault="00AC3778" w:rsidP="00AC3778">
            <w:pPr>
              <w:rPr>
                <w:b/>
                <w:color w:val="FF0000"/>
                <w:u w:val="single"/>
              </w:rPr>
            </w:pPr>
            <w:r w:rsidRPr="00492432">
              <w:rPr>
                <w:b/>
                <w:color w:val="FF0000"/>
                <w:u w:val="single"/>
              </w:rPr>
              <w:t>Conseil</w:t>
            </w:r>
            <w:r w:rsidRPr="00492432">
              <w:rPr>
                <w:color w:val="FF0000"/>
              </w:rPr>
              <w:t> :</w:t>
            </w:r>
            <w:r>
              <w:rPr>
                <w:color w:val="FF0000"/>
              </w:rPr>
              <w:t xml:space="preserve"> les éléments du programme relevant de physique </w:t>
            </w:r>
            <w:r w:rsidR="0025542C">
              <w:rPr>
                <w:color w:val="FF0000"/>
              </w:rPr>
              <w:t>« </w:t>
            </w:r>
            <w:r>
              <w:rPr>
                <w:color w:val="FF0000"/>
              </w:rPr>
              <w:t>moderne</w:t>
            </w:r>
            <w:r w:rsidR="0025542C">
              <w:rPr>
                <w:color w:val="FF0000"/>
              </w:rPr>
              <w:t> »</w:t>
            </w:r>
            <w:r>
              <w:rPr>
                <w:color w:val="FF0000"/>
              </w:rPr>
              <w:t xml:space="preserve"> peuvent faire l’objet de supports de contextualisation des apprentissages, ils seront repris dans l’enseignement su</w:t>
            </w:r>
            <w:r w:rsidR="0025542C">
              <w:rPr>
                <w:color w:val="FF0000"/>
              </w:rPr>
              <w:t xml:space="preserve">périeur avec un formalisme </w:t>
            </w:r>
            <w:r>
              <w:rPr>
                <w:color w:val="FF0000"/>
              </w:rPr>
              <w:t>adapté</w:t>
            </w:r>
            <w:r w:rsidR="0025542C">
              <w:rPr>
                <w:color w:val="FF0000"/>
              </w:rPr>
              <w:t>.</w:t>
            </w:r>
          </w:p>
        </w:tc>
      </w:tr>
    </w:tbl>
    <w:p w:rsidR="00EC7E3D" w:rsidRPr="00492432" w:rsidRDefault="00EC7E3D" w:rsidP="00EC7E3D">
      <w:pPr>
        <w:pStyle w:val="Default"/>
        <w:rPr>
          <w:rFonts w:asciiTheme="minorHAnsi" w:hAnsiTheme="minorHAnsi"/>
          <w:sz w:val="22"/>
          <w:szCs w:val="22"/>
        </w:rPr>
      </w:pPr>
    </w:p>
    <w:p w:rsidR="000113A0" w:rsidRPr="00E178D4" w:rsidRDefault="00E221D8" w:rsidP="00EC7E3D">
      <w:pPr>
        <w:pStyle w:val="Paragraphedeliste"/>
        <w:numPr>
          <w:ilvl w:val="0"/>
          <w:numId w:val="1"/>
        </w:numPr>
        <w:rPr>
          <w:b/>
        </w:rPr>
      </w:pPr>
      <w:r>
        <w:rPr>
          <w:b/>
        </w:rPr>
        <w:t>Agir : défis du XXIème siècle</w:t>
      </w:r>
    </w:p>
    <w:tbl>
      <w:tblPr>
        <w:tblStyle w:val="Grilledutableau"/>
        <w:tblW w:w="0" w:type="auto"/>
        <w:tblLook w:val="04A0" w:firstRow="1" w:lastRow="0" w:firstColumn="1" w:lastColumn="0" w:noHBand="0" w:noVBand="1"/>
      </w:tblPr>
      <w:tblGrid>
        <w:gridCol w:w="4606"/>
        <w:gridCol w:w="4606"/>
      </w:tblGrid>
      <w:tr w:rsidR="00130A57" w:rsidRPr="00E178D4" w:rsidTr="0097202E">
        <w:tc>
          <w:tcPr>
            <w:tcW w:w="4606" w:type="dxa"/>
          </w:tcPr>
          <w:p w:rsidR="00130A57" w:rsidRPr="00E178D4" w:rsidRDefault="00E221D8" w:rsidP="0097202E">
            <w:pPr>
              <w:rPr>
                <w:b/>
              </w:rPr>
            </w:pPr>
            <w:r w:rsidRPr="00E178D4">
              <w:rPr>
                <w:b/>
              </w:rPr>
              <w:t>Thèmes abordés</w:t>
            </w:r>
          </w:p>
        </w:tc>
        <w:tc>
          <w:tcPr>
            <w:tcW w:w="4606" w:type="dxa"/>
          </w:tcPr>
          <w:p w:rsidR="00130A57" w:rsidRPr="00E178D4" w:rsidRDefault="00130A57" w:rsidP="0097202E">
            <w:r w:rsidRPr="00E178D4">
              <w:rPr>
                <w:b/>
              </w:rPr>
              <w:t>Capacités à travailler en priorité</w:t>
            </w:r>
          </w:p>
        </w:tc>
      </w:tr>
      <w:tr w:rsidR="00130A57" w:rsidRPr="00E178D4" w:rsidTr="0025542C">
        <w:trPr>
          <w:trHeight w:val="925"/>
        </w:trPr>
        <w:tc>
          <w:tcPr>
            <w:tcW w:w="4606" w:type="dxa"/>
            <w:tcBorders>
              <w:bottom w:val="dashed" w:sz="4" w:space="0" w:color="auto"/>
            </w:tcBorders>
          </w:tcPr>
          <w:p w:rsidR="00C607F3" w:rsidRPr="00492432" w:rsidRDefault="00C607F3" w:rsidP="0097202E">
            <w:pPr>
              <w:rPr>
                <w:rFonts w:cs="Arial,Bold"/>
                <w:b/>
                <w:bCs/>
                <w:color w:val="AD1D72"/>
              </w:rPr>
            </w:pPr>
            <w:r w:rsidRPr="00492432">
              <w:rPr>
                <w:rFonts w:cs="Arial,Bold"/>
                <w:b/>
                <w:bCs/>
                <w:color w:val="AD1D72"/>
              </w:rPr>
              <w:t xml:space="preserve">Économiser les ressources et respecter l’environnement </w:t>
            </w:r>
          </w:p>
          <w:p w:rsidR="00C607F3" w:rsidRPr="00492432" w:rsidRDefault="00C607F3" w:rsidP="00C607F3">
            <w:pPr>
              <w:rPr>
                <w:rFonts w:cs="Arial"/>
                <w:bCs/>
              </w:rPr>
            </w:pPr>
            <w:r w:rsidRPr="00492432">
              <w:rPr>
                <w:rFonts w:cs="Arial"/>
                <w:bCs/>
              </w:rPr>
              <w:t>Enjeux énergétiques</w:t>
            </w:r>
          </w:p>
        </w:tc>
        <w:tc>
          <w:tcPr>
            <w:tcW w:w="4606" w:type="dxa"/>
            <w:tcBorders>
              <w:bottom w:val="dashed" w:sz="4" w:space="0" w:color="auto"/>
            </w:tcBorders>
          </w:tcPr>
          <w:p w:rsidR="00130A57" w:rsidRPr="00492432" w:rsidRDefault="00130A57" w:rsidP="00292BF5">
            <w:pPr>
              <w:autoSpaceDE w:val="0"/>
              <w:autoSpaceDN w:val="0"/>
              <w:adjustRightInd w:val="0"/>
              <w:rPr>
                <w:rFonts w:cs="Arial"/>
                <w:color w:val="000000"/>
              </w:rPr>
            </w:pPr>
          </w:p>
        </w:tc>
      </w:tr>
      <w:tr w:rsidR="00492432" w:rsidRPr="00E178D4" w:rsidTr="00492432">
        <w:trPr>
          <w:trHeight w:val="326"/>
        </w:trPr>
        <w:tc>
          <w:tcPr>
            <w:tcW w:w="4606" w:type="dxa"/>
            <w:tcBorders>
              <w:top w:val="dashed" w:sz="4" w:space="0" w:color="auto"/>
              <w:bottom w:val="dashed" w:sz="4" w:space="0" w:color="auto"/>
            </w:tcBorders>
          </w:tcPr>
          <w:p w:rsidR="00492432" w:rsidRPr="00492432" w:rsidRDefault="00492432" w:rsidP="00C607F3">
            <w:pPr>
              <w:rPr>
                <w:rFonts w:cs="Arial,Bold"/>
                <w:bCs/>
              </w:rPr>
            </w:pPr>
            <w:r w:rsidRPr="00492432">
              <w:rPr>
                <w:rFonts w:cs="Arial,Bold"/>
                <w:bCs/>
              </w:rPr>
              <w:t>Apport de la chimie au respect de l’environnement</w:t>
            </w:r>
          </w:p>
        </w:tc>
        <w:tc>
          <w:tcPr>
            <w:tcW w:w="4606" w:type="dxa"/>
            <w:tcBorders>
              <w:top w:val="dashed" w:sz="4" w:space="0" w:color="auto"/>
              <w:bottom w:val="dashed" w:sz="4" w:space="0" w:color="auto"/>
            </w:tcBorders>
          </w:tcPr>
          <w:p w:rsidR="00492432" w:rsidRPr="00492432" w:rsidRDefault="00492432" w:rsidP="00292BF5">
            <w:pPr>
              <w:autoSpaceDE w:val="0"/>
              <w:autoSpaceDN w:val="0"/>
              <w:adjustRightInd w:val="0"/>
              <w:rPr>
                <w:rFonts w:cs="Arial"/>
                <w:color w:val="000000"/>
              </w:rPr>
            </w:pPr>
          </w:p>
        </w:tc>
      </w:tr>
      <w:tr w:rsidR="00492432" w:rsidRPr="00E178D4" w:rsidTr="0025542C">
        <w:trPr>
          <w:trHeight w:val="2409"/>
        </w:trPr>
        <w:tc>
          <w:tcPr>
            <w:tcW w:w="4606" w:type="dxa"/>
            <w:tcBorders>
              <w:top w:val="dashed" w:sz="4" w:space="0" w:color="auto"/>
            </w:tcBorders>
          </w:tcPr>
          <w:p w:rsidR="00492432" w:rsidRPr="00492432" w:rsidRDefault="00492432" w:rsidP="00C607F3">
            <w:pPr>
              <w:rPr>
                <w:rFonts w:cs="Arial"/>
                <w:bCs/>
              </w:rPr>
            </w:pPr>
            <w:r w:rsidRPr="00492432">
              <w:rPr>
                <w:rFonts w:cs="Arial"/>
                <w:bCs/>
              </w:rPr>
              <w:lastRenderedPageBreak/>
              <w:t>Contrôle de la qualité par dosage</w:t>
            </w:r>
          </w:p>
        </w:tc>
        <w:tc>
          <w:tcPr>
            <w:tcW w:w="4606" w:type="dxa"/>
            <w:tcBorders>
              <w:top w:val="dashed" w:sz="4" w:space="0" w:color="auto"/>
            </w:tcBorders>
          </w:tcPr>
          <w:p w:rsidR="00492432" w:rsidRPr="0025542C" w:rsidRDefault="0025542C" w:rsidP="002B3BC5">
            <w:pPr>
              <w:autoSpaceDE w:val="0"/>
              <w:autoSpaceDN w:val="0"/>
              <w:adjustRightInd w:val="0"/>
              <w:rPr>
                <w:rFonts w:cs="Arial"/>
                <w:color w:val="000000"/>
              </w:rPr>
            </w:pPr>
            <w:r>
              <w:rPr>
                <w:rFonts w:cs="Arial"/>
                <w:color w:val="000000"/>
              </w:rPr>
              <w:t>D</w:t>
            </w:r>
            <w:r w:rsidR="002B3BC5" w:rsidRPr="0025542C">
              <w:rPr>
                <w:rFonts w:cs="Arial"/>
                <w:color w:val="000000"/>
              </w:rPr>
              <w:t xml:space="preserve">éterminer la concentration d’une espèce à l’aide de courbes d’étalonnage en utilisant la spectrophotométrie et la </w:t>
            </w:r>
            <w:r w:rsidR="00C90486" w:rsidRPr="0025542C">
              <w:rPr>
                <w:rFonts w:cs="Arial"/>
                <w:color w:val="000000"/>
              </w:rPr>
              <w:t>conductimétrie</w:t>
            </w:r>
          </w:p>
          <w:p w:rsidR="00C90486" w:rsidRPr="0025542C" w:rsidRDefault="00C90486" w:rsidP="00C90486">
            <w:pPr>
              <w:autoSpaceDE w:val="0"/>
              <w:autoSpaceDN w:val="0"/>
              <w:adjustRightInd w:val="0"/>
              <w:rPr>
                <w:rFonts w:cs="Arial"/>
                <w:color w:val="000000"/>
              </w:rPr>
            </w:pPr>
            <w:r w:rsidRPr="0025542C">
              <w:rPr>
                <w:rFonts w:cs="Arial"/>
              </w:rPr>
              <w:t xml:space="preserve">Établir l’équation de la réaction support de titrage </w:t>
            </w:r>
            <w:r w:rsidRPr="0025542C">
              <w:rPr>
                <w:rFonts w:cs="Arial"/>
                <w:color w:val="000000"/>
              </w:rPr>
              <w:t>à partir d’un protocole expérimental</w:t>
            </w:r>
          </w:p>
          <w:p w:rsidR="00C90486" w:rsidRPr="0025542C" w:rsidRDefault="0025542C" w:rsidP="00C90486">
            <w:pPr>
              <w:autoSpaceDE w:val="0"/>
              <w:autoSpaceDN w:val="0"/>
              <w:adjustRightInd w:val="0"/>
              <w:rPr>
                <w:rFonts w:cs="Arial"/>
                <w:color w:val="000000"/>
              </w:rPr>
            </w:pPr>
            <w:r>
              <w:rPr>
                <w:rFonts w:cs="Arial"/>
                <w:color w:val="000000"/>
              </w:rPr>
              <w:t>D</w:t>
            </w:r>
            <w:r w:rsidR="00C90486" w:rsidRPr="0025542C">
              <w:rPr>
                <w:rFonts w:cs="Arial"/>
                <w:color w:val="000000"/>
              </w:rPr>
              <w:t>éterminer la concentration d</w:t>
            </w:r>
            <w:r w:rsidR="00D150AE" w:rsidRPr="0025542C">
              <w:rPr>
                <w:rFonts w:cs="Arial"/>
                <w:color w:val="000000"/>
              </w:rPr>
              <w:t>’</w:t>
            </w:r>
            <w:r w:rsidR="00C90486" w:rsidRPr="0025542C">
              <w:rPr>
                <w:rFonts w:cs="Arial"/>
                <w:color w:val="000000"/>
              </w:rPr>
              <w:t>une espèce chimique par titrage avec suivi d’une grandeur physique ou visualisation d’un</w:t>
            </w:r>
          </w:p>
          <w:p w:rsidR="00C90486" w:rsidRPr="00492432" w:rsidRDefault="00C90486" w:rsidP="00C90486">
            <w:pPr>
              <w:autoSpaceDE w:val="0"/>
              <w:autoSpaceDN w:val="0"/>
              <w:adjustRightInd w:val="0"/>
              <w:rPr>
                <w:rFonts w:cs="Arial"/>
                <w:color w:val="000000"/>
              </w:rPr>
            </w:pPr>
            <w:r w:rsidRPr="0025542C">
              <w:rPr>
                <w:rFonts w:cs="Arial"/>
                <w:color w:val="000000"/>
              </w:rPr>
              <w:t>changement de couleur</w:t>
            </w:r>
          </w:p>
        </w:tc>
      </w:tr>
      <w:tr w:rsidR="000723ED" w:rsidRPr="00E178D4" w:rsidTr="008D774C">
        <w:tc>
          <w:tcPr>
            <w:tcW w:w="9212" w:type="dxa"/>
            <w:gridSpan w:val="2"/>
          </w:tcPr>
          <w:p w:rsidR="000723ED" w:rsidRPr="00492432" w:rsidRDefault="00F74591" w:rsidP="00951147">
            <w:r w:rsidRPr="00492432">
              <w:rPr>
                <w:b/>
                <w:color w:val="FF0000"/>
                <w:u w:val="single"/>
              </w:rPr>
              <w:t>Conseil</w:t>
            </w:r>
            <w:r w:rsidR="000723ED" w:rsidRPr="00492432">
              <w:rPr>
                <w:color w:val="FF0000"/>
              </w:rPr>
              <w:t> :</w:t>
            </w:r>
            <w:r w:rsidR="00292BF5" w:rsidRPr="00492432">
              <w:rPr>
                <w:color w:val="FF0000"/>
              </w:rPr>
              <w:t xml:space="preserve"> </w:t>
            </w:r>
            <w:r w:rsidR="0025542C">
              <w:rPr>
                <w:color w:val="FF0000"/>
              </w:rPr>
              <w:t>l</w:t>
            </w:r>
            <w:r w:rsidR="002B3BC5">
              <w:rPr>
                <w:color w:val="FF0000"/>
              </w:rPr>
              <w:t>a pratique de démarche</w:t>
            </w:r>
            <w:r w:rsidR="00C90486">
              <w:rPr>
                <w:color w:val="FF0000"/>
              </w:rPr>
              <w:t>s</w:t>
            </w:r>
            <w:r w:rsidR="002B3BC5">
              <w:rPr>
                <w:color w:val="FF0000"/>
              </w:rPr>
              <w:t xml:space="preserve"> expérimentale</w:t>
            </w:r>
            <w:r w:rsidR="00C90486">
              <w:rPr>
                <w:color w:val="FF0000"/>
              </w:rPr>
              <w:t>s</w:t>
            </w:r>
            <w:r w:rsidR="002B3BC5">
              <w:rPr>
                <w:color w:val="FF0000"/>
              </w:rPr>
              <w:t xml:space="preserve"> </w:t>
            </w:r>
            <w:r w:rsidR="00C90486">
              <w:rPr>
                <w:color w:val="FF0000"/>
              </w:rPr>
              <w:t xml:space="preserve">se fera à partir d’expériences </w:t>
            </w:r>
            <w:r w:rsidR="0025542C">
              <w:rPr>
                <w:color w:val="FF0000"/>
              </w:rPr>
              <w:t xml:space="preserve">éventuellement </w:t>
            </w:r>
            <w:r w:rsidR="00C90486">
              <w:rPr>
                <w:color w:val="FF0000"/>
              </w:rPr>
              <w:t>mises en œuvre par le professeur et de description de protocoles et de résultats expérimentaux correspondants. La maîtrise des concepts associés aux dosages et titrages est importante, même si cela est souvent réinvesti dans l’enseignement supérieur</w:t>
            </w:r>
            <w:r w:rsidR="00951147">
              <w:rPr>
                <w:color w:val="FF0000"/>
              </w:rPr>
              <w:t>. Le choix des contextes d’études, que ce soient lors des dosages ou lors des transformations en chimie organique</w:t>
            </w:r>
            <w:r w:rsidR="0025542C">
              <w:rPr>
                <w:color w:val="FF0000"/>
              </w:rPr>
              <w:t>,</w:t>
            </w:r>
            <w:r w:rsidR="00951147">
              <w:rPr>
                <w:color w:val="FF0000"/>
              </w:rPr>
              <w:t xml:space="preserve"> peuvent permettre sensibiliser aux enjeux énergétiques, liés à la chimie </w:t>
            </w:r>
            <w:r w:rsidR="004F554C">
              <w:rPr>
                <w:color w:val="FF0000"/>
              </w:rPr>
              <w:t xml:space="preserve">durable </w:t>
            </w:r>
            <w:r w:rsidR="00951147">
              <w:rPr>
                <w:color w:val="FF0000"/>
              </w:rPr>
              <w:t>et au respect de l’environnement.</w:t>
            </w:r>
          </w:p>
        </w:tc>
      </w:tr>
      <w:tr w:rsidR="000723ED" w:rsidRPr="00E178D4" w:rsidTr="00492432">
        <w:trPr>
          <w:trHeight w:val="217"/>
        </w:trPr>
        <w:tc>
          <w:tcPr>
            <w:tcW w:w="4606" w:type="dxa"/>
            <w:tcBorders>
              <w:bottom w:val="dashed" w:sz="4" w:space="0" w:color="auto"/>
            </w:tcBorders>
          </w:tcPr>
          <w:p w:rsidR="00492432" w:rsidRPr="00492432" w:rsidRDefault="00C607F3" w:rsidP="000723ED">
            <w:pPr>
              <w:autoSpaceDE w:val="0"/>
              <w:autoSpaceDN w:val="0"/>
              <w:adjustRightInd w:val="0"/>
              <w:rPr>
                <w:rFonts w:cs="Arial"/>
                <w:b/>
                <w:bCs/>
                <w:color w:val="AD1D72"/>
              </w:rPr>
            </w:pPr>
            <w:r w:rsidRPr="00492432">
              <w:rPr>
                <w:rFonts w:cs="Arial"/>
                <w:b/>
                <w:bCs/>
                <w:color w:val="AD1D72"/>
              </w:rPr>
              <w:t xml:space="preserve">Synthétiser des molécules, fabriquer de nouveaux matériaux </w:t>
            </w:r>
          </w:p>
          <w:p w:rsidR="00C607F3" w:rsidRPr="00492432" w:rsidRDefault="00C607F3" w:rsidP="000723ED">
            <w:pPr>
              <w:autoSpaceDE w:val="0"/>
              <w:autoSpaceDN w:val="0"/>
              <w:adjustRightInd w:val="0"/>
              <w:rPr>
                <w:rFonts w:cs="Arial"/>
                <w:bCs/>
              </w:rPr>
            </w:pPr>
            <w:r w:rsidRPr="00492432">
              <w:rPr>
                <w:rFonts w:cs="Arial"/>
                <w:bCs/>
              </w:rPr>
              <w:t>Stratégie de la synthèse organique</w:t>
            </w:r>
          </w:p>
        </w:tc>
        <w:tc>
          <w:tcPr>
            <w:tcW w:w="4606" w:type="dxa"/>
            <w:tcBorders>
              <w:bottom w:val="dashed" w:sz="4" w:space="0" w:color="auto"/>
            </w:tcBorders>
          </w:tcPr>
          <w:p w:rsidR="000723ED" w:rsidRDefault="000723ED" w:rsidP="0097202E"/>
          <w:p w:rsidR="00951147" w:rsidRDefault="00951147" w:rsidP="0097202E"/>
          <w:p w:rsidR="00951147" w:rsidRDefault="00951147" w:rsidP="00951147">
            <w:r>
              <w:t>Effectuer une analyse critique de protocoles</w:t>
            </w:r>
          </w:p>
          <w:p w:rsidR="00951147" w:rsidRDefault="00951147" w:rsidP="00951147">
            <w:r>
              <w:t>expérimentaux pour identifier les espèces mises en jeu, leurs quantités et les paramètres expérimentaux</w:t>
            </w:r>
          </w:p>
          <w:p w:rsidR="00951147" w:rsidRDefault="00951147" w:rsidP="00951147">
            <w:r>
              <w:t>Justifier le choix des techniques de synthèse et d’analyse utilisées</w:t>
            </w:r>
          </w:p>
          <w:p w:rsidR="00951147" w:rsidRPr="00492432" w:rsidRDefault="00951147" w:rsidP="00951147">
            <w:r>
              <w:t>Comparer les avantages et les i</w:t>
            </w:r>
            <w:r w:rsidR="0025542C">
              <w:t>nconvénients de deux protocoles</w:t>
            </w:r>
          </w:p>
        </w:tc>
      </w:tr>
      <w:tr w:rsidR="00492432" w:rsidRPr="00E178D4" w:rsidTr="00C75C97">
        <w:trPr>
          <w:trHeight w:val="309"/>
        </w:trPr>
        <w:tc>
          <w:tcPr>
            <w:tcW w:w="4606" w:type="dxa"/>
            <w:tcBorders>
              <w:top w:val="dashed" w:sz="4" w:space="0" w:color="auto"/>
              <w:bottom w:val="single" w:sz="4" w:space="0" w:color="auto"/>
            </w:tcBorders>
          </w:tcPr>
          <w:p w:rsidR="00492432" w:rsidRPr="00492432" w:rsidRDefault="00492432" w:rsidP="000723ED">
            <w:pPr>
              <w:autoSpaceDE w:val="0"/>
              <w:autoSpaceDN w:val="0"/>
              <w:adjustRightInd w:val="0"/>
              <w:rPr>
                <w:rFonts w:cs="Arial"/>
                <w:b/>
                <w:bCs/>
                <w:color w:val="AD1D72"/>
              </w:rPr>
            </w:pPr>
            <w:r w:rsidRPr="00492432">
              <w:rPr>
                <w:rFonts w:cs="Arial"/>
                <w:bCs/>
              </w:rPr>
              <w:t>Sélectivité en chimie organique</w:t>
            </w:r>
          </w:p>
        </w:tc>
        <w:tc>
          <w:tcPr>
            <w:tcW w:w="4606" w:type="dxa"/>
            <w:tcBorders>
              <w:top w:val="dashed" w:sz="4" w:space="0" w:color="auto"/>
              <w:bottom w:val="single" w:sz="4" w:space="0" w:color="auto"/>
            </w:tcBorders>
          </w:tcPr>
          <w:p w:rsidR="00492432" w:rsidRPr="00492432" w:rsidRDefault="00492432" w:rsidP="0097202E"/>
        </w:tc>
      </w:tr>
      <w:tr w:rsidR="004F554C" w:rsidRPr="00E178D4" w:rsidTr="00377FB7">
        <w:trPr>
          <w:trHeight w:val="485"/>
        </w:trPr>
        <w:tc>
          <w:tcPr>
            <w:tcW w:w="9212" w:type="dxa"/>
            <w:gridSpan w:val="2"/>
            <w:tcBorders>
              <w:top w:val="single" w:sz="4" w:space="0" w:color="auto"/>
              <w:bottom w:val="single" w:sz="4" w:space="0" w:color="auto"/>
            </w:tcBorders>
          </w:tcPr>
          <w:p w:rsidR="004F554C" w:rsidRPr="00492432" w:rsidRDefault="004F554C" w:rsidP="004F554C">
            <w:pPr>
              <w:autoSpaceDE w:val="0"/>
              <w:autoSpaceDN w:val="0"/>
              <w:adjustRightInd w:val="0"/>
              <w:rPr>
                <w:rFonts w:cs="Arial"/>
                <w:color w:val="000000"/>
              </w:rPr>
            </w:pPr>
            <w:r w:rsidRPr="00492432">
              <w:rPr>
                <w:b/>
                <w:color w:val="FF0000"/>
                <w:u w:val="single"/>
              </w:rPr>
              <w:t>Conseil</w:t>
            </w:r>
            <w:r w:rsidRPr="00492432">
              <w:rPr>
                <w:color w:val="FF0000"/>
              </w:rPr>
              <w:t> :</w:t>
            </w:r>
            <w:r w:rsidR="001A769C">
              <w:rPr>
                <w:color w:val="FF0000"/>
              </w:rPr>
              <w:t xml:space="preserve"> c</w:t>
            </w:r>
            <w:r>
              <w:rPr>
                <w:color w:val="FF0000"/>
              </w:rPr>
              <w:t>ette partie peut servir pour effectuer une synthèse des notions essentielles abordées en chimie organique et au niveau des transformations et pour développer l’esprit critique. La sélectivité sera reprise et approfondie dans l’enseignement supérieur.</w:t>
            </w:r>
          </w:p>
        </w:tc>
      </w:tr>
      <w:tr w:rsidR="000723ED" w:rsidRPr="00E178D4" w:rsidTr="00C75C97">
        <w:trPr>
          <w:trHeight w:val="915"/>
        </w:trPr>
        <w:tc>
          <w:tcPr>
            <w:tcW w:w="4606" w:type="dxa"/>
            <w:tcBorders>
              <w:top w:val="single" w:sz="4" w:space="0" w:color="auto"/>
              <w:bottom w:val="dashed" w:sz="4" w:space="0" w:color="auto"/>
            </w:tcBorders>
          </w:tcPr>
          <w:p w:rsidR="000723ED" w:rsidRPr="00492432" w:rsidRDefault="00C607F3" w:rsidP="00C607F3">
            <w:pPr>
              <w:autoSpaceDE w:val="0"/>
              <w:autoSpaceDN w:val="0"/>
              <w:adjustRightInd w:val="0"/>
              <w:rPr>
                <w:rFonts w:cs="Arial,Bold"/>
                <w:b/>
                <w:bCs/>
                <w:color w:val="AD1D72"/>
              </w:rPr>
            </w:pPr>
            <w:r w:rsidRPr="00492432">
              <w:rPr>
                <w:rFonts w:cs="Arial,Bold"/>
                <w:b/>
                <w:bCs/>
                <w:color w:val="AD1D72"/>
              </w:rPr>
              <w:t>Transmet</w:t>
            </w:r>
            <w:r w:rsidR="003044C0">
              <w:rPr>
                <w:rFonts w:cs="Arial,Bold"/>
                <w:b/>
                <w:bCs/>
                <w:color w:val="AD1D72"/>
              </w:rPr>
              <w:t>tre et stocker de l’information</w:t>
            </w:r>
          </w:p>
          <w:p w:rsidR="00492432" w:rsidRPr="00492432" w:rsidRDefault="00492432" w:rsidP="00C607F3">
            <w:pPr>
              <w:autoSpaceDE w:val="0"/>
              <w:autoSpaceDN w:val="0"/>
              <w:adjustRightInd w:val="0"/>
              <w:rPr>
                <w:rFonts w:cs="Arial,Bold"/>
                <w:b/>
                <w:bCs/>
              </w:rPr>
            </w:pPr>
          </w:p>
          <w:p w:rsidR="00C607F3" w:rsidRPr="00492432" w:rsidRDefault="00C607F3" w:rsidP="00C607F3">
            <w:pPr>
              <w:autoSpaceDE w:val="0"/>
              <w:autoSpaceDN w:val="0"/>
              <w:adjustRightInd w:val="0"/>
              <w:rPr>
                <w:rFonts w:cs="Arial,Bold"/>
                <w:bCs/>
              </w:rPr>
            </w:pPr>
            <w:r w:rsidRPr="00492432">
              <w:rPr>
                <w:rFonts w:cs="Arial,Bold"/>
                <w:bCs/>
              </w:rPr>
              <w:t>Chaîne de transmission d’informations</w:t>
            </w:r>
          </w:p>
        </w:tc>
        <w:tc>
          <w:tcPr>
            <w:tcW w:w="4606" w:type="dxa"/>
            <w:tcBorders>
              <w:top w:val="single" w:sz="4" w:space="0" w:color="auto"/>
              <w:bottom w:val="dashed" w:sz="4" w:space="0" w:color="auto"/>
            </w:tcBorders>
          </w:tcPr>
          <w:p w:rsidR="000723ED" w:rsidRPr="00492432" w:rsidRDefault="000723ED" w:rsidP="00E9118B">
            <w:pPr>
              <w:autoSpaceDE w:val="0"/>
              <w:autoSpaceDN w:val="0"/>
              <w:adjustRightInd w:val="0"/>
              <w:rPr>
                <w:rFonts w:cs="Arial"/>
                <w:color w:val="000000"/>
              </w:rPr>
            </w:pPr>
          </w:p>
        </w:tc>
      </w:tr>
      <w:tr w:rsidR="00492432" w:rsidRPr="00E178D4" w:rsidTr="00C75C97">
        <w:trPr>
          <w:trHeight w:val="275"/>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Images numériques</w:t>
            </w:r>
          </w:p>
        </w:tc>
        <w:tc>
          <w:tcPr>
            <w:tcW w:w="4606" w:type="dxa"/>
            <w:tcBorders>
              <w:top w:val="dashed" w:sz="4" w:space="0" w:color="auto"/>
              <w:bottom w:val="dashed" w:sz="4" w:space="0" w:color="auto"/>
            </w:tcBorders>
          </w:tcPr>
          <w:p w:rsidR="00492432" w:rsidRPr="003044C0" w:rsidRDefault="00DE0230" w:rsidP="00E9118B">
            <w:pPr>
              <w:autoSpaceDE w:val="0"/>
              <w:autoSpaceDN w:val="0"/>
              <w:adjustRightInd w:val="0"/>
              <w:rPr>
                <w:rFonts w:cs="Arial"/>
                <w:color w:val="000000"/>
              </w:rPr>
            </w:pPr>
            <w:r w:rsidRPr="003044C0">
              <w:rPr>
                <w:rFonts w:cs="Arial"/>
              </w:rPr>
              <w:t>Associer un tableau de nombres à une image numérique</w:t>
            </w:r>
          </w:p>
        </w:tc>
      </w:tr>
      <w:tr w:rsidR="00492432" w:rsidRPr="00E178D4" w:rsidTr="00C75C97">
        <w:trPr>
          <w:trHeight w:val="410"/>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Signal analogique et signal numérique</w:t>
            </w:r>
          </w:p>
        </w:tc>
        <w:tc>
          <w:tcPr>
            <w:tcW w:w="4606" w:type="dxa"/>
            <w:tcBorders>
              <w:top w:val="dashed" w:sz="4" w:space="0" w:color="auto"/>
              <w:bottom w:val="dashed" w:sz="4" w:space="0" w:color="auto"/>
            </w:tcBorders>
          </w:tcPr>
          <w:p w:rsidR="00492432" w:rsidRPr="003044C0" w:rsidRDefault="003044C0" w:rsidP="003044C0">
            <w:pPr>
              <w:autoSpaceDE w:val="0"/>
              <w:autoSpaceDN w:val="0"/>
              <w:adjustRightInd w:val="0"/>
              <w:rPr>
                <w:rFonts w:cs="Arial"/>
              </w:rPr>
            </w:pPr>
            <w:r w:rsidRPr="003044C0">
              <w:rPr>
                <w:rFonts w:cs="Arial"/>
              </w:rPr>
              <w:t xml:space="preserve">Reconnaître des signaux de nature analogique et des </w:t>
            </w:r>
            <w:r>
              <w:rPr>
                <w:rFonts w:cs="Arial"/>
              </w:rPr>
              <w:t>signaux de nature numérique</w:t>
            </w:r>
          </w:p>
        </w:tc>
      </w:tr>
      <w:tr w:rsidR="00492432" w:rsidRPr="00E178D4" w:rsidTr="00492432">
        <w:trPr>
          <w:trHeight w:val="318"/>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Procédés physiques de transmission</w:t>
            </w:r>
          </w:p>
        </w:tc>
        <w:tc>
          <w:tcPr>
            <w:tcW w:w="4606" w:type="dxa"/>
            <w:tcBorders>
              <w:top w:val="dashed" w:sz="4" w:space="0" w:color="auto"/>
              <w:bottom w:val="dashed" w:sz="4" w:space="0" w:color="auto"/>
            </w:tcBorders>
          </w:tcPr>
          <w:p w:rsidR="00492432" w:rsidRPr="003044C0" w:rsidRDefault="003044C0" w:rsidP="003044C0">
            <w:pPr>
              <w:autoSpaceDE w:val="0"/>
              <w:autoSpaceDN w:val="0"/>
              <w:adjustRightInd w:val="0"/>
              <w:rPr>
                <w:rFonts w:cs="Arial"/>
              </w:rPr>
            </w:pPr>
            <w:r w:rsidRPr="003044C0">
              <w:rPr>
                <w:rFonts w:cs="Arial"/>
              </w:rPr>
              <w:t>Évaluer l’affaiblissement d’un signal à l’aide du coefficient d’atténuation</w:t>
            </w:r>
          </w:p>
        </w:tc>
      </w:tr>
      <w:tr w:rsidR="00492432" w:rsidRPr="00E178D4" w:rsidTr="00492432">
        <w:trPr>
          <w:trHeight w:val="324"/>
        </w:trPr>
        <w:tc>
          <w:tcPr>
            <w:tcW w:w="4606" w:type="dxa"/>
            <w:tcBorders>
              <w:top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Stockage optique</w:t>
            </w:r>
          </w:p>
        </w:tc>
        <w:tc>
          <w:tcPr>
            <w:tcW w:w="4606" w:type="dxa"/>
            <w:tcBorders>
              <w:top w:val="dashed" w:sz="4" w:space="0" w:color="auto"/>
            </w:tcBorders>
          </w:tcPr>
          <w:p w:rsidR="00492432" w:rsidRPr="00492432" w:rsidRDefault="00492432" w:rsidP="00E9118B">
            <w:pPr>
              <w:autoSpaceDE w:val="0"/>
              <w:autoSpaceDN w:val="0"/>
              <w:adjustRightInd w:val="0"/>
              <w:rPr>
                <w:rFonts w:cs="Arial"/>
                <w:color w:val="000000"/>
              </w:rPr>
            </w:pPr>
          </w:p>
        </w:tc>
      </w:tr>
      <w:tr w:rsidR="00130A57" w:rsidRPr="00E178D4" w:rsidTr="0097202E">
        <w:tc>
          <w:tcPr>
            <w:tcW w:w="9212" w:type="dxa"/>
            <w:gridSpan w:val="2"/>
          </w:tcPr>
          <w:p w:rsidR="000723ED" w:rsidRPr="00492432" w:rsidRDefault="00C607F3" w:rsidP="003044C0">
            <w:pPr>
              <w:rPr>
                <w:b/>
                <w:color w:val="FF0000"/>
                <w:u w:val="single"/>
              </w:rPr>
            </w:pPr>
            <w:r w:rsidRPr="00492432">
              <w:rPr>
                <w:b/>
                <w:color w:val="FF0000"/>
                <w:u w:val="single"/>
              </w:rPr>
              <w:t>Conseil</w:t>
            </w:r>
            <w:r w:rsidR="00130A57" w:rsidRPr="00492432">
              <w:rPr>
                <w:color w:val="FF0000"/>
              </w:rPr>
              <w:t xml:space="preserve"> : </w:t>
            </w:r>
            <w:r w:rsidR="003044C0">
              <w:rPr>
                <w:color w:val="FF0000"/>
              </w:rPr>
              <w:t xml:space="preserve">les thèmes abordés dans cette partie du programme peuvent servir de contexte pour réinvestir des capacités travaillées dans les parties précédentes souvent plus conceptuelles. L’acquisition des notions et capacités associées peut aisément être différée.     </w:t>
            </w:r>
          </w:p>
        </w:tc>
      </w:tr>
    </w:tbl>
    <w:p w:rsidR="000113A0" w:rsidRDefault="000113A0" w:rsidP="00732520"/>
    <w:p w:rsidR="00C607F3" w:rsidRDefault="00C607F3" w:rsidP="00C607F3">
      <w:pPr>
        <w:pStyle w:val="Paragraphedeliste"/>
        <w:numPr>
          <w:ilvl w:val="0"/>
          <w:numId w:val="12"/>
        </w:numPr>
        <w:rPr>
          <w:b/>
          <w:sz w:val="24"/>
          <w:u w:val="single"/>
        </w:rPr>
      </w:pPr>
      <w:r>
        <w:rPr>
          <w:b/>
          <w:sz w:val="24"/>
          <w:u w:val="single"/>
        </w:rPr>
        <w:t>Enseignement de spécialité</w:t>
      </w:r>
      <w:r w:rsidR="00492432">
        <w:rPr>
          <w:b/>
          <w:sz w:val="24"/>
          <w:u w:val="single"/>
        </w:rPr>
        <w:t xml:space="preserve"> </w:t>
      </w:r>
    </w:p>
    <w:p w:rsidR="00D150AE" w:rsidRPr="00795B23" w:rsidRDefault="00F9228B" w:rsidP="00795B23">
      <w:pPr>
        <w:autoSpaceDE w:val="0"/>
        <w:autoSpaceDN w:val="0"/>
        <w:adjustRightInd w:val="0"/>
        <w:spacing w:after="0" w:line="240" w:lineRule="auto"/>
        <w:rPr>
          <w:rFonts w:cs="Arial"/>
          <w:bCs/>
        </w:rPr>
      </w:pPr>
      <w:r>
        <w:rPr>
          <w:rFonts w:cs="Arial"/>
          <w:bCs/>
        </w:rPr>
        <w:t>Pendant les horaires dédié</w:t>
      </w:r>
      <w:r w:rsidR="00795B23">
        <w:rPr>
          <w:rFonts w:cs="Arial"/>
          <w:bCs/>
        </w:rPr>
        <w:t xml:space="preserve">s à la spécialité physique-chimie, </w:t>
      </w:r>
      <w:r>
        <w:rPr>
          <w:rFonts w:cs="Arial"/>
          <w:bCs/>
        </w:rPr>
        <w:t>il est recommandé la poursuite de la mise en activité des élèves autour de t</w:t>
      </w:r>
      <w:r w:rsidR="00D150AE" w:rsidRPr="00795B23">
        <w:rPr>
          <w:rFonts w:cs="Arial"/>
          <w:bCs/>
        </w:rPr>
        <w:t xml:space="preserve">âches complexes </w:t>
      </w:r>
      <w:r>
        <w:rPr>
          <w:rFonts w:cs="Arial"/>
          <w:bCs/>
        </w:rPr>
        <w:t xml:space="preserve">impliquant la modélisation de situations réelles. Le choix de ces </w:t>
      </w:r>
      <w:r w:rsidR="009F1F4B">
        <w:rPr>
          <w:rFonts w:cs="Arial"/>
          <w:bCs/>
        </w:rPr>
        <w:t xml:space="preserve">activités privilégiera la </w:t>
      </w:r>
      <w:r w:rsidR="00D150AE" w:rsidRPr="00795B23">
        <w:rPr>
          <w:rFonts w:cs="Arial"/>
          <w:bCs/>
        </w:rPr>
        <w:t>mobil</w:t>
      </w:r>
      <w:r w:rsidR="00795B23">
        <w:rPr>
          <w:rFonts w:cs="Arial"/>
          <w:bCs/>
        </w:rPr>
        <w:t>is</w:t>
      </w:r>
      <w:r w:rsidR="00D150AE" w:rsidRPr="00795B23">
        <w:rPr>
          <w:rFonts w:cs="Arial"/>
          <w:bCs/>
        </w:rPr>
        <w:t>a</w:t>
      </w:r>
      <w:r w:rsidR="009F1F4B">
        <w:rPr>
          <w:rFonts w:cs="Arial"/>
          <w:bCs/>
        </w:rPr>
        <w:t>tion</w:t>
      </w:r>
      <w:r w:rsidR="00D150AE" w:rsidRPr="00795B23">
        <w:rPr>
          <w:rFonts w:cs="Arial"/>
          <w:bCs/>
        </w:rPr>
        <w:t xml:space="preserve"> </w:t>
      </w:r>
      <w:r w:rsidR="009F1F4B">
        <w:rPr>
          <w:rFonts w:cs="Arial"/>
          <w:bCs/>
        </w:rPr>
        <w:t>de</w:t>
      </w:r>
      <w:r w:rsidR="00D150AE" w:rsidRPr="00795B23">
        <w:rPr>
          <w:rFonts w:cs="Arial"/>
          <w:bCs/>
        </w:rPr>
        <w:t xml:space="preserve"> notions-clés </w:t>
      </w:r>
      <w:r w:rsidR="00632F84">
        <w:rPr>
          <w:rFonts w:cs="Arial"/>
          <w:bCs/>
        </w:rPr>
        <w:t xml:space="preserve">de l’enseignement obligatoire </w:t>
      </w:r>
      <w:r w:rsidR="009F1F4B">
        <w:rPr>
          <w:rFonts w:cs="Arial"/>
          <w:bCs/>
        </w:rPr>
        <w:t>et de contextes relatifs aux</w:t>
      </w:r>
      <w:r w:rsidR="00632F84">
        <w:rPr>
          <w:rFonts w:cs="Arial"/>
          <w:bCs/>
        </w:rPr>
        <w:t xml:space="preserve"> trois thèmes du programme</w:t>
      </w:r>
      <w:r w:rsidR="009F1F4B" w:rsidRPr="00795B23">
        <w:rPr>
          <w:rFonts w:cs="Arial"/>
          <w:bCs/>
        </w:rPr>
        <w:t xml:space="preserve"> </w:t>
      </w:r>
      <w:r w:rsidR="009F1F4B">
        <w:rPr>
          <w:rFonts w:cs="Arial"/>
          <w:bCs/>
        </w:rPr>
        <w:t xml:space="preserve">de </w:t>
      </w:r>
      <w:r w:rsidR="00D150AE" w:rsidRPr="00795B23">
        <w:rPr>
          <w:rFonts w:cs="Arial"/>
          <w:bCs/>
        </w:rPr>
        <w:t>l’</w:t>
      </w:r>
      <w:r w:rsidR="00040876">
        <w:rPr>
          <w:rFonts w:cs="Arial"/>
          <w:bCs/>
        </w:rPr>
        <w:t>enseignement de spécialité</w:t>
      </w:r>
      <w:r w:rsidR="009F1F4B">
        <w:rPr>
          <w:rFonts w:cs="Arial"/>
          <w:bCs/>
        </w:rPr>
        <w:t>.</w:t>
      </w:r>
    </w:p>
    <w:p w:rsidR="00C607F3" w:rsidRPr="00E178D4" w:rsidRDefault="00C607F3" w:rsidP="00732520"/>
    <w:sectPr w:rsidR="00C607F3" w:rsidRPr="00E178D4" w:rsidSect="00E0509A">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06" w:rsidRDefault="00845806" w:rsidP="00ED6C8F">
      <w:pPr>
        <w:spacing w:after="0" w:line="240" w:lineRule="auto"/>
      </w:pPr>
      <w:r>
        <w:separator/>
      </w:r>
    </w:p>
  </w:endnote>
  <w:endnote w:type="continuationSeparator" w:id="0">
    <w:p w:rsidR="00845806" w:rsidRDefault="00845806"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06" w:rsidRDefault="00845806" w:rsidP="00ED6C8F">
      <w:pPr>
        <w:spacing w:after="0" w:line="240" w:lineRule="auto"/>
      </w:pPr>
      <w:r>
        <w:separator/>
      </w:r>
    </w:p>
  </w:footnote>
  <w:footnote w:type="continuationSeparator" w:id="0">
    <w:p w:rsidR="00845806" w:rsidRDefault="00845806" w:rsidP="00ED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DB374F"/>
    <w:multiLevelType w:val="hybridMultilevel"/>
    <w:tmpl w:val="AF967A6A"/>
    <w:lvl w:ilvl="0" w:tplc="F25664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9901D1B"/>
    <w:multiLevelType w:val="hybridMultilevel"/>
    <w:tmpl w:val="67581D26"/>
    <w:lvl w:ilvl="0" w:tplc="FA56720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0A24163"/>
    <w:multiLevelType w:val="hybridMultilevel"/>
    <w:tmpl w:val="23306F4E"/>
    <w:lvl w:ilvl="0" w:tplc="7E92057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E342E4F"/>
    <w:multiLevelType w:val="hybridMultilevel"/>
    <w:tmpl w:val="771C1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D36152"/>
    <w:multiLevelType w:val="hybridMultilevel"/>
    <w:tmpl w:val="FB3E0258"/>
    <w:lvl w:ilvl="0" w:tplc="3130696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0B52F7F"/>
    <w:multiLevelType w:val="hybridMultilevel"/>
    <w:tmpl w:val="72545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2E96367"/>
    <w:multiLevelType w:val="hybridMultilevel"/>
    <w:tmpl w:val="4AA0541C"/>
    <w:lvl w:ilvl="0" w:tplc="61EE7C4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0"/>
  </w:num>
  <w:num w:numId="3">
    <w:abstractNumId w:val="12"/>
  </w:num>
  <w:num w:numId="4">
    <w:abstractNumId w:val="10"/>
  </w:num>
  <w:num w:numId="5">
    <w:abstractNumId w:val="11"/>
  </w:num>
  <w:num w:numId="6">
    <w:abstractNumId w:val="5"/>
  </w:num>
  <w:num w:numId="7">
    <w:abstractNumId w:val="8"/>
  </w:num>
  <w:num w:numId="8">
    <w:abstractNumId w:val="9"/>
  </w:num>
  <w:num w:numId="9">
    <w:abstractNumId w:val="2"/>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17564"/>
    <w:rsid w:val="0003317A"/>
    <w:rsid w:val="00040876"/>
    <w:rsid w:val="00040A62"/>
    <w:rsid w:val="00041BB8"/>
    <w:rsid w:val="00045BD9"/>
    <w:rsid w:val="000723ED"/>
    <w:rsid w:val="000D640E"/>
    <w:rsid w:val="00125FA6"/>
    <w:rsid w:val="00126168"/>
    <w:rsid w:val="00130A57"/>
    <w:rsid w:val="001A769C"/>
    <w:rsid w:val="001B1866"/>
    <w:rsid w:val="002047AF"/>
    <w:rsid w:val="002107FC"/>
    <w:rsid w:val="00223F00"/>
    <w:rsid w:val="002345B7"/>
    <w:rsid w:val="002530F5"/>
    <w:rsid w:val="0025542C"/>
    <w:rsid w:val="0026798C"/>
    <w:rsid w:val="00280755"/>
    <w:rsid w:val="00290958"/>
    <w:rsid w:val="00292BF5"/>
    <w:rsid w:val="002A66C4"/>
    <w:rsid w:val="002B3BC5"/>
    <w:rsid w:val="002C3A2C"/>
    <w:rsid w:val="003044C0"/>
    <w:rsid w:val="00306282"/>
    <w:rsid w:val="0034057E"/>
    <w:rsid w:val="003E3BA3"/>
    <w:rsid w:val="004024CF"/>
    <w:rsid w:val="00433F0A"/>
    <w:rsid w:val="0046413D"/>
    <w:rsid w:val="004816FB"/>
    <w:rsid w:val="00492432"/>
    <w:rsid w:val="004C0B9A"/>
    <w:rsid w:val="004D63FD"/>
    <w:rsid w:val="004F3647"/>
    <w:rsid w:val="004F554C"/>
    <w:rsid w:val="00523CB9"/>
    <w:rsid w:val="005620E6"/>
    <w:rsid w:val="00614083"/>
    <w:rsid w:val="00632F84"/>
    <w:rsid w:val="0067534C"/>
    <w:rsid w:val="006A3BCE"/>
    <w:rsid w:val="006B325C"/>
    <w:rsid w:val="00705974"/>
    <w:rsid w:val="00732520"/>
    <w:rsid w:val="00795B23"/>
    <w:rsid w:val="007A1A01"/>
    <w:rsid w:val="007A1C11"/>
    <w:rsid w:val="00801936"/>
    <w:rsid w:val="00845806"/>
    <w:rsid w:val="0093697F"/>
    <w:rsid w:val="00951147"/>
    <w:rsid w:val="009B5830"/>
    <w:rsid w:val="009C1CD0"/>
    <w:rsid w:val="009D0537"/>
    <w:rsid w:val="009E1E1C"/>
    <w:rsid w:val="009E41F0"/>
    <w:rsid w:val="009F1F4B"/>
    <w:rsid w:val="00A021F4"/>
    <w:rsid w:val="00A42BA8"/>
    <w:rsid w:val="00A6069E"/>
    <w:rsid w:val="00A814D6"/>
    <w:rsid w:val="00AC3778"/>
    <w:rsid w:val="00B35A63"/>
    <w:rsid w:val="00B615AB"/>
    <w:rsid w:val="00B64B8D"/>
    <w:rsid w:val="00B70F6F"/>
    <w:rsid w:val="00BB3DC2"/>
    <w:rsid w:val="00BD5226"/>
    <w:rsid w:val="00C05C4F"/>
    <w:rsid w:val="00C432C4"/>
    <w:rsid w:val="00C44A88"/>
    <w:rsid w:val="00C473E6"/>
    <w:rsid w:val="00C51479"/>
    <w:rsid w:val="00C607F3"/>
    <w:rsid w:val="00C75C97"/>
    <w:rsid w:val="00C90486"/>
    <w:rsid w:val="00CF6710"/>
    <w:rsid w:val="00D140D3"/>
    <w:rsid w:val="00D150AE"/>
    <w:rsid w:val="00D42F54"/>
    <w:rsid w:val="00D454D4"/>
    <w:rsid w:val="00D519CB"/>
    <w:rsid w:val="00D67F04"/>
    <w:rsid w:val="00DB69C0"/>
    <w:rsid w:val="00DE0230"/>
    <w:rsid w:val="00E0509A"/>
    <w:rsid w:val="00E10CF9"/>
    <w:rsid w:val="00E178D4"/>
    <w:rsid w:val="00E221D8"/>
    <w:rsid w:val="00E24F84"/>
    <w:rsid w:val="00E26DBD"/>
    <w:rsid w:val="00E824FC"/>
    <w:rsid w:val="00E9118B"/>
    <w:rsid w:val="00E97A78"/>
    <w:rsid w:val="00EB2E62"/>
    <w:rsid w:val="00EC2DD5"/>
    <w:rsid w:val="00EC7E3D"/>
    <w:rsid w:val="00ED6C8F"/>
    <w:rsid w:val="00EF6618"/>
    <w:rsid w:val="00EF73FE"/>
    <w:rsid w:val="00F11D51"/>
    <w:rsid w:val="00F30ABD"/>
    <w:rsid w:val="00F7348E"/>
    <w:rsid w:val="00F74591"/>
    <w:rsid w:val="00F92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customStyle="1" w:styleId="Default">
    <w:name w:val="Default"/>
    <w:rsid w:val="000D64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customStyle="1" w:styleId="Default">
    <w:name w:val="Default"/>
    <w:rsid w:val="000D64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830A-6960-468C-992E-1F8EED09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1505</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Dominique Obert</cp:lastModifiedBy>
  <cp:revision>12</cp:revision>
  <dcterms:created xsi:type="dcterms:W3CDTF">2020-04-26T18:12:00Z</dcterms:created>
  <dcterms:modified xsi:type="dcterms:W3CDTF">2020-04-27T12:52:00Z</dcterms:modified>
</cp:coreProperties>
</file>