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AE" w:rsidRPr="002C1699" w:rsidRDefault="00904781" w:rsidP="0025516B">
      <w:pPr>
        <w:jc w:val="left"/>
        <w:rPr>
          <w:rFonts w:ascii="Comic Sans MS" w:hAnsi="Comic Sans MS"/>
          <w:b/>
          <w:smallCaps/>
          <w:sz w:val="24"/>
          <w:szCs w:val="24"/>
          <w:bdr w:val="single" w:sz="4" w:space="0" w:color="auto"/>
        </w:rPr>
      </w:pPr>
      <w:r>
        <w:rPr>
          <w:rFonts w:ascii="Comic Sans MS" w:hAnsi="Comic Sans MS"/>
          <w:b/>
          <w:sz w:val="24"/>
          <w:szCs w:val="24"/>
        </w:rPr>
        <w:t>Activité</w:t>
      </w:r>
      <w:r w:rsidR="005303AE" w:rsidRPr="005303AE">
        <w:rPr>
          <w:rFonts w:ascii="Comic Sans MS" w:hAnsi="Comic Sans MS"/>
          <w:b/>
          <w:sz w:val="24"/>
          <w:szCs w:val="24"/>
        </w:rPr>
        <w:t xml:space="preserve"> chimie</w:t>
      </w:r>
      <w:r w:rsidR="0025516B">
        <w:rPr>
          <w:rFonts w:ascii="Comic Sans MS" w:hAnsi="Comic Sans MS"/>
          <w:b/>
          <w:sz w:val="24"/>
          <w:szCs w:val="24"/>
        </w:rPr>
        <w:t xml:space="preserve">   </w:t>
      </w:r>
      <w:r w:rsidR="00676684">
        <w:rPr>
          <w:rFonts w:ascii="Comic Sans MS" w:hAnsi="Comic Sans MS"/>
          <w:b/>
          <w:sz w:val="24"/>
          <w:szCs w:val="24"/>
        </w:rPr>
        <w:t xml:space="preserve">      </w:t>
      </w:r>
      <w:r w:rsidR="002C1699" w:rsidRPr="0032746A">
        <w:rPr>
          <w:rFonts w:ascii="Comic Sans MS" w:hAnsi="Comic Sans MS"/>
          <w:b/>
          <w:smallCaps/>
          <w:sz w:val="30"/>
          <w:szCs w:val="30"/>
          <w:bdr w:val="single" w:sz="4" w:space="0" w:color="auto"/>
        </w:rPr>
        <w:t>Le mystère des molécules de la couleur</w:t>
      </w:r>
    </w:p>
    <w:p w:rsidR="005303AE" w:rsidRPr="000D7D9E" w:rsidRDefault="00747BDC">
      <w:pPr>
        <w:rPr>
          <w:rFonts w:ascii="Comic Sans MS" w:hAnsi="Comic Sans MS"/>
          <w:b/>
          <w:sz w:val="10"/>
          <w:szCs w:val="10"/>
          <w:bdr w:val="single" w:sz="4" w:space="0" w:color="auto"/>
        </w:rPr>
      </w:pPr>
      <w:r w:rsidRPr="00747BDC"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left:0;text-align:left;margin-left:-1pt;margin-top:17.4pt;width:530.65pt;height:135.8pt;z-index:251660800">
            <v:shadow on="t"/>
            <v:textbox style="mso-next-textbox:#_x0000_s1042">
              <w:txbxContent>
                <w:p w:rsidR="00676684" w:rsidRPr="00FA204C" w:rsidRDefault="00676684" w:rsidP="00676684">
                  <w:pPr>
                    <w:jc w:val="left"/>
                    <w:rPr>
                      <w:rFonts w:ascii="Comic Sans MS" w:hAnsi="Comic Sans MS"/>
                      <w:i/>
                      <w:sz w:val="23"/>
                      <w:szCs w:val="23"/>
                    </w:rPr>
                  </w:pPr>
                  <w:r w:rsidRPr="00FA204C">
                    <w:rPr>
                      <w:rFonts w:ascii="Comic Sans MS" w:hAnsi="Comic Sans MS"/>
                      <w:i/>
                      <w:sz w:val="23"/>
                      <w:szCs w:val="23"/>
                    </w:rPr>
                    <w:t xml:space="preserve">Certaines substances organiques sont colorées, d’autres incolores. </w:t>
                  </w:r>
                </w:p>
                <w:p w:rsidR="00676684" w:rsidRPr="00FA204C" w:rsidRDefault="00676684" w:rsidP="00676684">
                  <w:pPr>
                    <w:jc w:val="left"/>
                    <w:rPr>
                      <w:rFonts w:ascii="Comic Sans MS" w:hAnsi="Comic Sans MS"/>
                      <w:i/>
                      <w:sz w:val="23"/>
                      <w:szCs w:val="23"/>
                    </w:rPr>
                  </w:pPr>
                  <w:r w:rsidRPr="00FA204C">
                    <w:rPr>
                      <w:rFonts w:ascii="Comic Sans MS" w:hAnsi="Comic Sans MS"/>
                      <w:i/>
                      <w:sz w:val="23"/>
                      <w:szCs w:val="23"/>
                    </w:rPr>
                    <w:t xml:space="preserve">Le tableau </w:t>
                  </w:r>
                  <w:r w:rsidR="0032746A" w:rsidRPr="00FA204C">
                    <w:rPr>
                      <w:rFonts w:ascii="Comic Sans MS" w:hAnsi="Comic Sans MS"/>
                      <w:i/>
                      <w:sz w:val="23"/>
                      <w:szCs w:val="23"/>
                    </w:rPr>
                    <w:t>en annexe</w:t>
                  </w:r>
                  <w:r w:rsidRPr="00FA204C">
                    <w:rPr>
                      <w:rFonts w:ascii="Comic Sans MS" w:hAnsi="Comic Sans MS"/>
                      <w:i/>
                      <w:sz w:val="23"/>
                      <w:szCs w:val="23"/>
                    </w:rPr>
                    <w:t xml:space="preserve"> présente </w:t>
                  </w:r>
                  <w:r w:rsidR="0032746A" w:rsidRPr="00FA204C">
                    <w:rPr>
                      <w:rFonts w:ascii="Comic Sans MS" w:hAnsi="Comic Sans MS"/>
                      <w:i/>
                      <w:sz w:val="23"/>
                      <w:szCs w:val="23"/>
                    </w:rPr>
                    <w:t xml:space="preserve">les propriétés optiques de </w:t>
                  </w:r>
                  <w:r w:rsidRPr="00FA204C">
                    <w:rPr>
                      <w:rFonts w:ascii="Comic Sans MS" w:hAnsi="Comic Sans MS"/>
                      <w:i/>
                      <w:sz w:val="23"/>
                      <w:szCs w:val="23"/>
                    </w:rPr>
                    <w:t>différentes molécules organiques</w:t>
                  </w:r>
                  <w:r w:rsidR="0032746A" w:rsidRPr="00FA204C">
                    <w:rPr>
                      <w:rFonts w:ascii="Comic Sans MS" w:hAnsi="Comic Sans MS"/>
                      <w:i/>
                      <w:sz w:val="23"/>
                      <w:szCs w:val="23"/>
                    </w:rPr>
                    <w:t>.</w:t>
                  </w:r>
                </w:p>
                <w:p w:rsidR="0032746A" w:rsidRPr="00FA204C" w:rsidRDefault="0032746A" w:rsidP="00676684">
                  <w:pPr>
                    <w:jc w:val="left"/>
                    <w:rPr>
                      <w:rFonts w:ascii="Comic Sans MS" w:hAnsi="Comic Sans MS"/>
                      <w:b/>
                      <w:i/>
                      <w:sz w:val="23"/>
                      <w:szCs w:val="23"/>
                    </w:rPr>
                  </w:pPr>
                </w:p>
                <w:p w:rsidR="0032746A" w:rsidRPr="00FA204C" w:rsidRDefault="005F5909" w:rsidP="00676684">
                  <w:pPr>
                    <w:jc w:val="left"/>
                    <w:rPr>
                      <w:rFonts w:ascii="Comic Sans MS" w:hAnsi="Comic Sans MS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3"/>
                      <w:szCs w:val="23"/>
                    </w:rPr>
                    <w:t>Votre mission</w:t>
                  </w:r>
                  <w:r w:rsidR="0032746A" w:rsidRPr="00FA204C">
                    <w:rPr>
                      <w:rFonts w:ascii="Comic Sans MS" w:hAnsi="Comic Sans MS"/>
                      <w:b/>
                      <w:i/>
                      <w:sz w:val="23"/>
                      <w:szCs w:val="23"/>
                    </w:rPr>
                    <w:t xml:space="preserve"> est d’utiliser les définitions ci-dessous pour répondre à la question :</w:t>
                  </w:r>
                </w:p>
                <w:p w:rsidR="0032746A" w:rsidRPr="00FA204C" w:rsidRDefault="0032746A" w:rsidP="00676684">
                  <w:pPr>
                    <w:jc w:val="left"/>
                    <w:rPr>
                      <w:rFonts w:ascii="Comic Sans MS" w:hAnsi="Comic Sans MS"/>
                      <w:b/>
                      <w:i/>
                      <w:sz w:val="23"/>
                      <w:szCs w:val="23"/>
                    </w:rPr>
                  </w:pPr>
                </w:p>
                <w:p w:rsidR="00676684" w:rsidRPr="00FA204C" w:rsidRDefault="0032746A" w:rsidP="0032746A">
                  <w:pPr>
                    <w:rPr>
                      <w:rFonts w:ascii="Comic Sans MS" w:hAnsi="Comic Sans MS"/>
                      <w:b/>
                      <w:i/>
                      <w:sz w:val="23"/>
                      <w:szCs w:val="23"/>
                    </w:rPr>
                  </w:pPr>
                  <w:r w:rsidRPr="00FA204C">
                    <w:rPr>
                      <w:rFonts w:ascii="Comic Sans MS" w:hAnsi="Comic Sans MS"/>
                      <w:b/>
                      <w:i/>
                      <w:sz w:val="23"/>
                      <w:szCs w:val="23"/>
                    </w:rPr>
                    <w:t>« </w:t>
                  </w:r>
                  <w:r w:rsidR="00676684" w:rsidRPr="00FA204C">
                    <w:rPr>
                      <w:rFonts w:ascii="Comic Sans MS" w:hAnsi="Comic Sans MS"/>
                      <w:b/>
                      <w:i/>
                      <w:sz w:val="23"/>
                      <w:szCs w:val="23"/>
                    </w:rPr>
                    <w:t>Existe-t-il un lien entre la couleur d’une substance et la structure de la molécule qu’elle contient ?</w:t>
                  </w:r>
                  <w:r w:rsidRPr="00FA204C">
                    <w:rPr>
                      <w:rFonts w:ascii="Comic Sans MS" w:hAnsi="Comic Sans MS"/>
                      <w:b/>
                      <w:i/>
                      <w:sz w:val="23"/>
                      <w:szCs w:val="23"/>
                    </w:rPr>
                    <w:t> »</w:t>
                  </w:r>
                </w:p>
                <w:p w:rsidR="00676684" w:rsidRPr="00676684" w:rsidRDefault="00676684" w:rsidP="00676684"/>
              </w:txbxContent>
            </v:textbox>
            <w10:wrap type="square"/>
          </v:shape>
        </w:pict>
      </w:r>
    </w:p>
    <w:p w:rsidR="00676684" w:rsidRDefault="00676684" w:rsidP="002C1699">
      <w:pPr>
        <w:jc w:val="left"/>
        <w:rPr>
          <w:rFonts w:ascii="Comic Sans MS" w:hAnsi="Comic Sans MS"/>
          <w:b/>
          <w:i/>
        </w:rPr>
      </w:pPr>
    </w:p>
    <w:p w:rsidR="00676684" w:rsidRDefault="00676684" w:rsidP="002C1699">
      <w:pPr>
        <w:jc w:val="left"/>
        <w:rPr>
          <w:rFonts w:ascii="Comic Sans MS" w:hAnsi="Comic Sans MS"/>
          <w:b/>
          <w:i/>
        </w:rPr>
      </w:pPr>
    </w:p>
    <w:p w:rsidR="002C1699" w:rsidRPr="005F5909" w:rsidRDefault="0032746A" w:rsidP="005F5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sz w:val="23"/>
          <w:szCs w:val="23"/>
        </w:rPr>
      </w:pPr>
      <w:r w:rsidRPr="005F5909">
        <w:rPr>
          <w:rFonts w:ascii="Comic Sans MS" w:hAnsi="Comic Sans MS"/>
          <w:b/>
          <w:sz w:val="23"/>
          <w:szCs w:val="23"/>
        </w:rPr>
        <w:t>Définition 1 :</w:t>
      </w:r>
      <w:r w:rsidRPr="005F5909">
        <w:rPr>
          <w:rFonts w:ascii="Comic Sans MS" w:hAnsi="Comic Sans MS"/>
          <w:sz w:val="23"/>
          <w:szCs w:val="23"/>
        </w:rPr>
        <w:t xml:space="preserve"> </w:t>
      </w:r>
      <w:r w:rsidR="001B40ED">
        <w:rPr>
          <w:rFonts w:ascii="Comic Sans MS" w:hAnsi="Comic Sans MS"/>
          <w:sz w:val="23"/>
          <w:szCs w:val="23"/>
        </w:rPr>
        <w:t xml:space="preserve">la </w:t>
      </w:r>
      <w:r w:rsidR="001B40ED" w:rsidRPr="001B40ED">
        <w:rPr>
          <w:rFonts w:ascii="Comic Sans MS" w:hAnsi="Comic Sans MS"/>
          <w:b/>
          <w:sz w:val="23"/>
          <w:szCs w:val="23"/>
        </w:rPr>
        <w:t xml:space="preserve">conjugaison </w:t>
      </w:r>
      <w:r w:rsidR="001B40ED">
        <w:rPr>
          <w:rFonts w:ascii="Comic Sans MS" w:hAnsi="Comic Sans MS"/>
          <w:sz w:val="23"/>
          <w:szCs w:val="23"/>
        </w:rPr>
        <w:t>est une façon de réunir, d’associer et de coordonner des éléments.</w:t>
      </w:r>
    </w:p>
    <w:p w:rsidR="002C1699" w:rsidRPr="005F5909" w:rsidRDefault="002C1699" w:rsidP="002C1699">
      <w:pPr>
        <w:jc w:val="both"/>
        <w:rPr>
          <w:rFonts w:ascii="Comic Sans MS" w:hAnsi="Comic Sans MS"/>
          <w:sz w:val="23"/>
          <w:szCs w:val="23"/>
        </w:rPr>
      </w:pPr>
      <w:r w:rsidRPr="005F5909">
        <w:rPr>
          <w:rFonts w:ascii="Comic Sans MS" w:hAnsi="Comic Sans MS"/>
          <w:sz w:val="23"/>
          <w:szCs w:val="23"/>
        </w:rPr>
        <w:t xml:space="preserve">                                                          </w:t>
      </w:r>
      <w:r w:rsidR="000507AC" w:rsidRPr="005F5909">
        <w:rPr>
          <w:rFonts w:ascii="Comic Sans MS" w:hAnsi="Comic Sans MS"/>
          <w:sz w:val="23"/>
          <w:szCs w:val="23"/>
        </w:rPr>
        <w:t xml:space="preserve">               </w:t>
      </w:r>
      <w:r w:rsidRPr="005F5909">
        <w:rPr>
          <w:rFonts w:ascii="Comic Sans MS" w:hAnsi="Comic Sans MS"/>
          <w:sz w:val="23"/>
          <w:szCs w:val="23"/>
        </w:rPr>
        <w:t xml:space="preserve">  </w:t>
      </w:r>
    </w:p>
    <w:p w:rsidR="002C1699" w:rsidRPr="005F5909" w:rsidRDefault="0032746A" w:rsidP="0067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3"/>
          <w:szCs w:val="23"/>
        </w:rPr>
      </w:pPr>
      <w:r w:rsidRPr="005F5909">
        <w:rPr>
          <w:rFonts w:ascii="Comic Sans MS" w:hAnsi="Comic Sans MS"/>
          <w:b/>
          <w:sz w:val="23"/>
          <w:szCs w:val="23"/>
        </w:rPr>
        <w:t>Définition 2 :</w:t>
      </w:r>
      <w:r w:rsidRPr="005F5909">
        <w:rPr>
          <w:rFonts w:ascii="Comic Sans MS" w:hAnsi="Comic Sans MS"/>
          <w:sz w:val="23"/>
          <w:szCs w:val="23"/>
        </w:rPr>
        <w:t xml:space="preserve"> </w:t>
      </w:r>
      <w:r w:rsidR="002C1699" w:rsidRPr="005F5909">
        <w:rPr>
          <w:rFonts w:ascii="Comic Sans MS" w:hAnsi="Comic Sans MS"/>
          <w:sz w:val="23"/>
          <w:szCs w:val="23"/>
        </w:rPr>
        <w:t xml:space="preserve">On appelle </w:t>
      </w:r>
      <w:r w:rsidR="002C1699" w:rsidRPr="005F5909">
        <w:rPr>
          <w:rFonts w:ascii="Comic Sans MS" w:hAnsi="Comic Sans MS"/>
          <w:b/>
          <w:sz w:val="23"/>
          <w:szCs w:val="23"/>
        </w:rPr>
        <w:t xml:space="preserve">chromophore </w:t>
      </w:r>
      <w:r w:rsidR="002C1699" w:rsidRPr="005F5909">
        <w:rPr>
          <w:rFonts w:ascii="Comic Sans MS" w:hAnsi="Comic Sans MS"/>
          <w:sz w:val="23"/>
          <w:szCs w:val="23"/>
        </w:rPr>
        <w:t>tout groupe qui absorbe des radiations appartenant aux UV ou au visible. Certains chromophores sont isolés, d’autres non  mais ils possèdent  une double liaison.</w:t>
      </w:r>
    </w:p>
    <w:p w:rsidR="002C1699" w:rsidRPr="005F5909" w:rsidRDefault="00667A8A" w:rsidP="0067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Par exemple, l</w:t>
      </w:r>
      <w:r w:rsidR="002C1699" w:rsidRPr="005F5909">
        <w:rPr>
          <w:rFonts w:ascii="Comic Sans MS" w:hAnsi="Comic Sans MS"/>
          <w:sz w:val="23"/>
          <w:szCs w:val="23"/>
        </w:rPr>
        <w:t>’éthylène CH</w:t>
      </w:r>
      <w:r w:rsidR="002C1699" w:rsidRPr="005F5909">
        <w:rPr>
          <w:rFonts w:ascii="Comic Sans MS" w:hAnsi="Comic Sans MS"/>
          <w:sz w:val="23"/>
          <w:szCs w:val="23"/>
          <w:vertAlign w:val="subscript"/>
        </w:rPr>
        <w:t>2</w:t>
      </w:r>
      <w:r w:rsidR="002C1699" w:rsidRPr="005F5909">
        <w:rPr>
          <w:rFonts w:ascii="Comic Sans MS" w:hAnsi="Comic Sans MS"/>
          <w:sz w:val="23"/>
          <w:szCs w:val="23"/>
        </w:rPr>
        <w:t xml:space="preserve"> = CH</w:t>
      </w:r>
      <w:r w:rsidR="002C1699" w:rsidRPr="005F5909">
        <w:rPr>
          <w:rFonts w:ascii="Comic Sans MS" w:hAnsi="Comic Sans MS"/>
          <w:sz w:val="23"/>
          <w:szCs w:val="23"/>
          <w:vertAlign w:val="subscript"/>
        </w:rPr>
        <w:t>2</w:t>
      </w:r>
      <w:r w:rsidR="002C1699" w:rsidRPr="005F5909">
        <w:rPr>
          <w:rFonts w:ascii="Comic Sans MS" w:hAnsi="Comic Sans MS"/>
          <w:sz w:val="23"/>
          <w:szCs w:val="23"/>
        </w:rPr>
        <w:t xml:space="preserve"> a une double liaison carbone-carbone et constitue un chromophore qui absorbe les radiations de longueur d’onde </w:t>
      </w:r>
      <w:r w:rsidR="002C1699" w:rsidRPr="005F5909">
        <w:rPr>
          <w:rFonts w:ascii="Comic Sans MS" w:hAnsi="Comic Sans MS"/>
          <w:sz w:val="23"/>
          <w:szCs w:val="23"/>
          <w:lang w:val="en-US"/>
        </w:rPr>
        <w:sym w:font="Symbol" w:char="F06C"/>
      </w:r>
      <w:r w:rsidR="002C1699" w:rsidRPr="005F5909">
        <w:rPr>
          <w:rFonts w:ascii="Comic Sans MS" w:hAnsi="Comic Sans MS"/>
          <w:sz w:val="23"/>
          <w:szCs w:val="23"/>
        </w:rPr>
        <w:t xml:space="preserve"> = 165 nm.</w:t>
      </w:r>
    </w:p>
    <w:p w:rsidR="002C1699" w:rsidRPr="005F5909" w:rsidRDefault="002C1699" w:rsidP="002C1699">
      <w:pPr>
        <w:jc w:val="both"/>
        <w:rPr>
          <w:rFonts w:ascii="Comic Sans MS" w:hAnsi="Comic Sans MS"/>
          <w:sz w:val="23"/>
          <w:szCs w:val="23"/>
        </w:rPr>
      </w:pPr>
    </w:p>
    <w:p w:rsidR="001B40ED" w:rsidRDefault="0032746A" w:rsidP="0067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3"/>
          <w:szCs w:val="23"/>
        </w:rPr>
      </w:pPr>
      <w:r w:rsidRPr="005F5909">
        <w:rPr>
          <w:rFonts w:ascii="Comic Sans MS" w:hAnsi="Comic Sans MS"/>
          <w:b/>
          <w:sz w:val="23"/>
          <w:szCs w:val="23"/>
        </w:rPr>
        <w:t>Définition 3 :</w:t>
      </w:r>
      <w:r w:rsidRPr="005F5909">
        <w:rPr>
          <w:rFonts w:ascii="Comic Sans MS" w:hAnsi="Comic Sans MS"/>
          <w:sz w:val="23"/>
          <w:szCs w:val="23"/>
        </w:rPr>
        <w:t xml:space="preserve"> </w:t>
      </w:r>
      <w:r w:rsidR="00676684" w:rsidRPr="005F5909">
        <w:rPr>
          <w:rFonts w:ascii="Comic Sans MS" w:hAnsi="Comic Sans MS"/>
          <w:sz w:val="23"/>
          <w:szCs w:val="23"/>
        </w:rPr>
        <w:t xml:space="preserve">Des groupes auxiliaires, appelés </w:t>
      </w:r>
      <w:r w:rsidR="00676684" w:rsidRPr="005F5909">
        <w:rPr>
          <w:rFonts w:ascii="Comic Sans MS" w:hAnsi="Comic Sans MS"/>
          <w:b/>
          <w:sz w:val="23"/>
          <w:szCs w:val="23"/>
        </w:rPr>
        <w:t>auxochromes</w:t>
      </w:r>
      <w:r w:rsidR="00676684" w:rsidRPr="005F5909">
        <w:rPr>
          <w:rFonts w:ascii="Comic Sans MS" w:hAnsi="Comic Sans MS"/>
          <w:sz w:val="23"/>
          <w:szCs w:val="23"/>
        </w:rPr>
        <w:t xml:space="preserve"> confèrent des propriétés chimiques spécifiques aux molécules. Ces groupes comportent des atomes à doublets non liants</w:t>
      </w:r>
      <w:r w:rsidR="001B40ED">
        <w:rPr>
          <w:rFonts w:ascii="Comic Sans MS" w:hAnsi="Comic Sans MS"/>
          <w:sz w:val="23"/>
          <w:szCs w:val="23"/>
        </w:rPr>
        <w:t>.</w:t>
      </w:r>
    </w:p>
    <w:p w:rsidR="00676684" w:rsidRPr="005F5909" w:rsidRDefault="00676684" w:rsidP="0067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3"/>
          <w:szCs w:val="23"/>
        </w:rPr>
      </w:pPr>
      <w:r w:rsidRPr="005F5909">
        <w:rPr>
          <w:rFonts w:ascii="Comic Sans MS" w:hAnsi="Comic Sans MS"/>
          <w:sz w:val="23"/>
          <w:szCs w:val="23"/>
        </w:rPr>
        <w:t>Ce sont, par exemple,  – OH, - NH</w:t>
      </w:r>
      <w:r w:rsidRPr="005F5909">
        <w:rPr>
          <w:rFonts w:ascii="Comic Sans MS" w:hAnsi="Comic Sans MS"/>
          <w:sz w:val="23"/>
          <w:szCs w:val="23"/>
          <w:vertAlign w:val="subscript"/>
        </w:rPr>
        <w:t>2</w:t>
      </w:r>
      <w:r w:rsidRPr="005F5909">
        <w:rPr>
          <w:rFonts w:ascii="Comic Sans MS" w:hAnsi="Comic Sans MS"/>
          <w:sz w:val="23"/>
          <w:szCs w:val="23"/>
        </w:rPr>
        <w:t>, - NO</w:t>
      </w:r>
      <w:r w:rsidRPr="005F5909">
        <w:rPr>
          <w:rFonts w:ascii="Comic Sans MS" w:hAnsi="Comic Sans MS"/>
          <w:sz w:val="23"/>
          <w:szCs w:val="23"/>
          <w:vertAlign w:val="subscript"/>
        </w:rPr>
        <w:t>2</w:t>
      </w:r>
      <w:r w:rsidRPr="005F5909">
        <w:rPr>
          <w:rFonts w:ascii="Comic Sans MS" w:hAnsi="Comic Sans MS"/>
          <w:sz w:val="23"/>
          <w:szCs w:val="23"/>
        </w:rPr>
        <w:t>, - Cl, - O - CH</w:t>
      </w:r>
      <w:r w:rsidRPr="005F5909">
        <w:rPr>
          <w:rFonts w:ascii="Comic Sans MS" w:hAnsi="Comic Sans MS"/>
          <w:sz w:val="23"/>
          <w:szCs w:val="23"/>
          <w:vertAlign w:val="subscript"/>
        </w:rPr>
        <w:t>3</w:t>
      </w:r>
      <w:r w:rsidRPr="005F5909">
        <w:rPr>
          <w:rFonts w:ascii="Comic Sans MS" w:hAnsi="Comic Sans MS"/>
          <w:sz w:val="23"/>
          <w:szCs w:val="23"/>
        </w:rPr>
        <w:t xml:space="preserve">, ... que l’on retrouve très souvent dans les indicateurs colorés utilisés en chimie. </w:t>
      </w:r>
    </w:p>
    <w:p w:rsidR="00676684" w:rsidRDefault="00676684" w:rsidP="002C1699">
      <w:pPr>
        <w:jc w:val="both"/>
        <w:rPr>
          <w:rFonts w:ascii="Comic Sans MS" w:hAnsi="Comic Sans MS"/>
          <w:sz w:val="20"/>
          <w:szCs w:val="20"/>
        </w:rPr>
      </w:pPr>
    </w:p>
    <w:p w:rsidR="00FA204C" w:rsidRPr="005F5909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eastAsia="Times New Roman" w:hAnsi="Comic Sans MS" w:cs="Arial"/>
          <w:b/>
          <w:sz w:val="23"/>
          <w:szCs w:val="23"/>
          <w:lang w:eastAsia="fr-FR"/>
        </w:rPr>
      </w:pPr>
      <w:r w:rsidRPr="005F5909">
        <w:rPr>
          <w:rFonts w:ascii="Comic Sans MS" w:eastAsia="Times New Roman" w:hAnsi="Comic Sans MS" w:cs="Arial"/>
          <w:b/>
          <w:sz w:val="23"/>
          <w:szCs w:val="23"/>
          <w:lang w:eastAsia="fr-FR"/>
        </w:rPr>
        <w:t>Formule topologique :</w:t>
      </w:r>
    </w:p>
    <w:p w:rsidR="00FA204C" w:rsidRPr="005F5909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eastAsia="Times New Roman" w:hAnsi="Comic Sans MS" w:cs="Arial"/>
          <w:sz w:val="23"/>
          <w:szCs w:val="23"/>
          <w:lang w:eastAsia="fr-FR"/>
        </w:rPr>
      </w:pPr>
      <w:r w:rsidRPr="005F5909">
        <w:rPr>
          <w:rFonts w:ascii="Comic Sans MS" w:eastAsia="Times New Roman" w:hAnsi="Comic Sans MS" w:cs="Arial"/>
          <w:sz w:val="23"/>
          <w:szCs w:val="23"/>
          <w:lang w:eastAsia="fr-FR"/>
        </w:rPr>
        <w:t>La</w:t>
      </w:r>
      <w:r w:rsidRPr="00FA204C">
        <w:rPr>
          <w:rFonts w:ascii="Comic Sans MS" w:eastAsia="Times New Roman" w:hAnsi="Comic Sans MS" w:cs="Arial"/>
          <w:sz w:val="23"/>
          <w:szCs w:val="23"/>
          <w:lang w:eastAsia="fr-FR"/>
        </w:rPr>
        <w:t xml:space="preserve"> formule topologique</w:t>
      </w:r>
      <w:r w:rsidRPr="005F5909">
        <w:rPr>
          <w:rFonts w:ascii="Comic Sans MS" w:eastAsia="Times New Roman" w:hAnsi="Comic Sans MS" w:cs="Arial"/>
          <w:sz w:val="23"/>
          <w:szCs w:val="23"/>
          <w:lang w:eastAsia="fr-FR"/>
        </w:rPr>
        <w:t xml:space="preserve"> est une représentation moléculaire simplifiée.</w:t>
      </w:r>
    </w:p>
    <w:p w:rsidR="00FA204C" w:rsidRPr="00FA204C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eastAsia="Times New Roman" w:hAnsi="Comic Sans MS" w:cs="Arial"/>
          <w:sz w:val="23"/>
          <w:szCs w:val="23"/>
          <w:lang w:eastAsia="fr-FR"/>
        </w:rPr>
      </w:pPr>
      <w:r w:rsidRPr="00FA204C">
        <w:rPr>
          <w:rFonts w:ascii="Comic Sans MS" w:eastAsia="Times New Roman" w:hAnsi="Comic Sans MS" w:cs="Arial"/>
          <w:sz w:val="23"/>
          <w:szCs w:val="23"/>
          <w:lang w:eastAsia="fr-FR"/>
        </w:rPr>
        <w:t xml:space="preserve">On représente le squelette carboné par une simple ligne brisée où l’on fait apparaître, si cela est nécessaire, les doubles liaisons. </w:t>
      </w:r>
      <w:r w:rsidR="00667A8A">
        <w:rPr>
          <w:rFonts w:ascii="Comic Sans MS" w:eastAsia="Times New Roman" w:hAnsi="Comic Sans MS" w:cs="Arial"/>
          <w:sz w:val="23"/>
          <w:szCs w:val="23"/>
          <w:lang w:eastAsia="fr-FR"/>
        </w:rPr>
        <w:t>L</w:t>
      </w:r>
      <w:r w:rsidRPr="00FA204C">
        <w:rPr>
          <w:rFonts w:ascii="Comic Sans MS" w:eastAsia="Times New Roman" w:hAnsi="Comic Sans MS" w:cs="Arial"/>
          <w:sz w:val="23"/>
          <w:szCs w:val="23"/>
          <w:lang w:eastAsia="fr-FR"/>
        </w:rPr>
        <w:t xml:space="preserve">es atomes de carbone </w:t>
      </w:r>
      <w:r w:rsidR="00667A8A">
        <w:rPr>
          <w:rFonts w:ascii="Comic Sans MS" w:eastAsia="Times New Roman" w:hAnsi="Comic Sans MS" w:cs="Arial"/>
          <w:sz w:val="23"/>
          <w:szCs w:val="23"/>
          <w:lang w:eastAsia="fr-FR"/>
        </w:rPr>
        <w:t>ne sont plus représentés ainsi que les atomes</w:t>
      </w:r>
      <w:r w:rsidRPr="00FA204C">
        <w:rPr>
          <w:rFonts w:ascii="Comic Sans MS" w:eastAsia="Times New Roman" w:hAnsi="Comic Sans MS" w:cs="Arial"/>
          <w:sz w:val="23"/>
          <w:szCs w:val="23"/>
          <w:lang w:eastAsia="fr-FR"/>
        </w:rPr>
        <w:t xml:space="preserve"> d’hydrogène </w:t>
      </w:r>
      <w:r w:rsidR="00667A8A">
        <w:rPr>
          <w:rFonts w:ascii="Comic Sans MS" w:eastAsia="Times New Roman" w:hAnsi="Comic Sans MS" w:cs="Arial"/>
          <w:sz w:val="23"/>
          <w:szCs w:val="23"/>
          <w:lang w:eastAsia="fr-FR"/>
        </w:rPr>
        <w:t>liés à des atomes de carbone.</w:t>
      </w:r>
    </w:p>
    <w:p w:rsidR="00FA204C" w:rsidRPr="00FA204C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eastAsia="Times New Roman" w:hAnsi="Comic Sans MS" w:cs="Arial"/>
          <w:sz w:val="23"/>
          <w:szCs w:val="23"/>
          <w:lang w:eastAsia="fr-FR"/>
        </w:rPr>
      </w:pPr>
      <w:r w:rsidRPr="00FA204C">
        <w:rPr>
          <w:rFonts w:ascii="Comic Sans MS" w:eastAsia="Times New Roman" w:hAnsi="Comic Sans MS" w:cs="Arial"/>
          <w:sz w:val="23"/>
          <w:szCs w:val="23"/>
          <w:lang w:eastAsia="fr-FR"/>
        </w:rPr>
        <w:t>Considérons, par exemple, le cas du limonène</w:t>
      </w:r>
      <w:r w:rsidR="00667A8A">
        <w:rPr>
          <w:rFonts w:ascii="Comic Sans MS" w:eastAsia="Times New Roman" w:hAnsi="Comic Sans MS" w:cs="Arial"/>
          <w:sz w:val="23"/>
          <w:szCs w:val="23"/>
          <w:lang w:eastAsia="fr-FR"/>
        </w:rPr>
        <w:t> :</w:t>
      </w:r>
    </w:p>
    <w:p w:rsidR="00FA204C" w:rsidRDefault="005F5909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57785</wp:posOffset>
            </wp:positionV>
            <wp:extent cx="4011930" cy="1804035"/>
            <wp:effectExtent l="19050" t="0" r="7620" b="0"/>
            <wp:wrapTight wrapText="bothSides">
              <wp:wrapPolygon edited="0">
                <wp:start x="-103" y="0"/>
                <wp:lineTo x="-103" y="21440"/>
                <wp:lineTo x="21641" y="21440"/>
                <wp:lineTo x="21641" y="0"/>
                <wp:lineTo x="-103" y="0"/>
              </wp:wrapPolygon>
            </wp:wrapTight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04C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:rsidR="00FA204C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:rsidR="00FA204C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:rsidR="00FA204C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:rsidR="00FA204C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:rsidR="00FA204C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:rsidR="00FA204C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:rsidR="00FA204C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:rsidR="00FA204C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:rsidR="00FA204C" w:rsidRDefault="00FA204C" w:rsidP="005F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</w:p>
    <w:p w:rsidR="00FA204C" w:rsidRDefault="00FA204C" w:rsidP="002C1699">
      <w:pPr>
        <w:jc w:val="both"/>
        <w:rPr>
          <w:rFonts w:ascii="Comic Sans MS" w:hAnsi="Comic Sans MS"/>
          <w:sz w:val="20"/>
          <w:szCs w:val="20"/>
        </w:rPr>
      </w:pPr>
    </w:p>
    <w:p w:rsidR="00FA204C" w:rsidRDefault="00FA204C" w:rsidP="002C1699">
      <w:pPr>
        <w:jc w:val="both"/>
        <w:rPr>
          <w:rFonts w:ascii="Comic Sans MS" w:hAnsi="Comic Sans MS"/>
          <w:sz w:val="20"/>
          <w:szCs w:val="20"/>
        </w:rPr>
      </w:pPr>
    </w:p>
    <w:p w:rsidR="001B40ED" w:rsidRPr="001B40ED" w:rsidRDefault="001B40ED" w:rsidP="001B40ED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b/>
          <w:sz w:val="23"/>
          <w:szCs w:val="23"/>
        </w:rPr>
      </w:pPr>
      <w:r w:rsidRPr="001B40ED">
        <w:rPr>
          <w:rFonts w:ascii="Comic Sans MS" w:hAnsi="Comic Sans MS"/>
          <w:b/>
          <w:sz w:val="23"/>
          <w:szCs w:val="23"/>
        </w:rPr>
        <w:t>Compléter les cases vides du tableau puis analyser la structure des différentes molécules qui y sont représentées.</w:t>
      </w:r>
    </w:p>
    <w:p w:rsidR="00667A8A" w:rsidRDefault="00667A8A" w:rsidP="0009749B">
      <w:pPr>
        <w:autoSpaceDE w:val="0"/>
        <w:autoSpaceDN w:val="0"/>
        <w:adjustRightInd w:val="0"/>
        <w:jc w:val="left"/>
        <w:rPr>
          <w:rFonts w:ascii="Comic Sans MS" w:hAnsi="Comic Sans MS"/>
          <w:b/>
          <w:sz w:val="24"/>
          <w:szCs w:val="24"/>
        </w:rPr>
      </w:pPr>
    </w:p>
    <w:p w:rsidR="00667A8A" w:rsidRDefault="00667A8A" w:rsidP="0009749B">
      <w:pPr>
        <w:autoSpaceDE w:val="0"/>
        <w:autoSpaceDN w:val="0"/>
        <w:adjustRightInd w:val="0"/>
        <w:jc w:val="left"/>
        <w:rPr>
          <w:rFonts w:ascii="Comic Sans MS" w:hAnsi="Comic Sans MS"/>
          <w:b/>
          <w:sz w:val="24"/>
          <w:szCs w:val="24"/>
        </w:rPr>
      </w:pPr>
    </w:p>
    <w:p w:rsidR="00667A8A" w:rsidRDefault="00667A8A" w:rsidP="0009749B">
      <w:pPr>
        <w:autoSpaceDE w:val="0"/>
        <w:autoSpaceDN w:val="0"/>
        <w:adjustRightInd w:val="0"/>
        <w:jc w:val="left"/>
        <w:rPr>
          <w:rFonts w:ascii="Comic Sans MS" w:hAnsi="Comic Sans MS"/>
          <w:b/>
          <w:sz w:val="24"/>
          <w:szCs w:val="24"/>
        </w:rPr>
      </w:pPr>
    </w:p>
    <w:p w:rsidR="005F5909" w:rsidRPr="005F5909" w:rsidRDefault="00904781" w:rsidP="0009749B">
      <w:pPr>
        <w:autoSpaceDE w:val="0"/>
        <w:autoSpaceDN w:val="0"/>
        <w:adjustRightInd w:val="0"/>
        <w:jc w:val="left"/>
        <w:rPr>
          <w:rFonts w:ascii="Comic Sans MS" w:hAnsi="Comic Sans MS"/>
          <w:sz w:val="24"/>
          <w:szCs w:val="24"/>
        </w:rPr>
      </w:pPr>
      <w:r w:rsidRPr="005F5909">
        <w:rPr>
          <w:rFonts w:ascii="Comic Sans MS" w:hAnsi="Comic Sans MS"/>
          <w:b/>
          <w:sz w:val="24"/>
          <w:szCs w:val="24"/>
        </w:rPr>
        <w:lastRenderedPageBreak/>
        <w:t>Application </w:t>
      </w:r>
      <w:r w:rsidRPr="005F5909">
        <w:rPr>
          <w:rFonts w:ascii="Comic Sans MS" w:hAnsi="Comic Sans MS"/>
          <w:sz w:val="24"/>
          <w:szCs w:val="24"/>
        </w:rPr>
        <w:t xml:space="preserve">: </w:t>
      </w:r>
    </w:p>
    <w:p w:rsidR="005F5909" w:rsidRDefault="00747BDC" w:rsidP="0009749B">
      <w:pPr>
        <w:autoSpaceDE w:val="0"/>
        <w:autoSpaceDN w:val="0"/>
        <w:adjustRightInd w:val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.75pt;margin-top:5pt;width:441.6pt;height:0;z-index:251664896" o:connectortype="straight" strokecolor="blue" strokeweight="1.5pt"/>
        </w:pict>
      </w:r>
    </w:p>
    <w:p w:rsidR="000507AC" w:rsidRPr="00106FBB" w:rsidRDefault="00904781" w:rsidP="0009749B">
      <w:pPr>
        <w:autoSpaceDE w:val="0"/>
        <w:autoSpaceDN w:val="0"/>
        <w:adjustRightInd w:val="0"/>
        <w:jc w:val="left"/>
        <w:rPr>
          <w:rFonts w:ascii="Comic Sans MS" w:hAnsi="Comic Sans MS"/>
          <w:sz w:val="20"/>
          <w:szCs w:val="20"/>
        </w:rPr>
      </w:pPr>
      <w:r w:rsidRPr="00106FBB">
        <w:rPr>
          <w:rFonts w:ascii="Comic Sans MS" w:hAnsi="Comic Sans MS" w:cs="ComicSansMS"/>
          <w:sz w:val="20"/>
          <w:szCs w:val="20"/>
        </w:rPr>
        <w:t>Le bleu de bromothymol est un indicateur coloré</w:t>
      </w:r>
      <w:r w:rsidR="0009749B">
        <w:rPr>
          <w:rFonts w:ascii="Comic Sans MS" w:hAnsi="Comic Sans MS" w:cs="ComicSansMS"/>
          <w:sz w:val="20"/>
          <w:szCs w:val="20"/>
        </w:rPr>
        <w:t xml:space="preserve"> pouvant exister sous la forme de deux molécules notées B</w:t>
      </w:r>
      <w:r w:rsidR="0009749B" w:rsidRPr="00655635">
        <w:rPr>
          <w:rFonts w:ascii="Comic Sans MS" w:hAnsi="Comic Sans MS" w:cs="ComicSansMS"/>
          <w:sz w:val="20"/>
          <w:szCs w:val="20"/>
          <w:vertAlign w:val="subscript"/>
        </w:rPr>
        <w:t>1</w:t>
      </w:r>
      <w:r w:rsidR="0009749B">
        <w:rPr>
          <w:rFonts w:ascii="Comic Sans MS" w:hAnsi="Comic Sans MS" w:cs="ComicSansMS"/>
          <w:sz w:val="20"/>
          <w:szCs w:val="20"/>
        </w:rPr>
        <w:t xml:space="preserve"> (en milieu acide) et B</w:t>
      </w:r>
      <w:r w:rsidR="0009749B" w:rsidRPr="00655635">
        <w:rPr>
          <w:rFonts w:ascii="Comic Sans MS" w:hAnsi="Comic Sans MS" w:cs="ComicSansMS"/>
          <w:sz w:val="20"/>
          <w:szCs w:val="20"/>
          <w:vertAlign w:val="subscript"/>
        </w:rPr>
        <w:t>2</w:t>
      </w:r>
      <w:r w:rsidR="0009749B">
        <w:rPr>
          <w:rFonts w:ascii="Comic Sans MS" w:hAnsi="Comic Sans MS" w:cs="ComicSansMS"/>
          <w:sz w:val="20"/>
          <w:szCs w:val="20"/>
          <w:vertAlign w:val="superscript"/>
        </w:rPr>
        <w:t xml:space="preserve"> </w:t>
      </w:r>
      <w:r w:rsidR="0009749B">
        <w:rPr>
          <w:rFonts w:ascii="Comic Sans MS" w:hAnsi="Comic Sans MS" w:cs="ComicSansMS"/>
          <w:sz w:val="20"/>
          <w:szCs w:val="20"/>
        </w:rPr>
        <w:t>(en milieu basique)</w:t>
      </w:r>
      <w:r w:rsidRPr="00106FBB">
        <w:rPr>
          <w:rFonts w:ascii="Comic Sans MS" w:hAnsi="Comic Sans MS" w:cs="ComicSansMS"/>
          <w:sz w:val="20"/>
          <w:szCs w:val="20"/>
        </w:rPr>
        <w:t xml:space="preserve">. Le </w:t>
      </w:r>
      <w:r w:rsidR="0009749B">
        <w:rPr>
          <w:rFonts w:ascii="Comic Sans MS" w:hAnsi="Comic Sans MS" w:cs="ComicSansMS"/>
          <w:sz w:val="20"/>
          <w:szCs w:val="20"/>
        </w:rPr>
        <w:t>document</w:t>
      </w:r>
      <w:r w:rsidRPr="00106FBB">
        <w:rPr>
          <w:rFonts w:ascii="Comic Sans MS" w:hAnsi="Comic Sans MS" w:cs="ComicSansMS"/>
          <w:sz w:val="20"/>
          <w:szCs w:val="20"/>
        </w:rPr>
        <w:t xml:space="preserve"> ci-dessous montre les spectres d’absorption </w:t>
      </w:r>
      <w:r w:rsidR="0009749B">
        <w:rPr>
          <w:rFonts w:ascii="Comic Sans MS" w:hAnsi="Comic Sans MS" w:cs="ComicSansMS"/>
          <w:sz w:val="20"/>
          <w:szCs w:val="20"/>
        </w:rPr>
        <w:t>de chacune des deux formes ainsi que leurs représentations topologiques :</w:t>
      </w:r>
    </w:p>
    <w:p w:rsidR="00904781" w:rsidRDefault="00747BDC" w:rsidP="002C1699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05.6pt;margin-top:13.55pt;width:241.5pt;height:120.05pt;z-index:251659776" stroked="f">
            <v:textbox style="mso-next-textbox:#_x0000_s1040">
              <w:txbxContent>
                <w:p w:rsidR="000F7AB5" w:rsidRDefault="000F7AB5" w:rsidP="000F7AB5">
                  <w:pPr>
                    <w:jc w:val="both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31968" cy="1333500"/>
                        <wp:effectExtent l="19050" t="0" r="6482" b="0"/>
                        <wp:docPr id="2" name="Image 1" descr="BB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0537" cy="1337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1"/>
          <w:szCs w:val="21"/>
          <w:lang w:eastAsia="fr-FR"/>
        </w:rPr>
        <w:pict>
          <v:shape id="_x0000_s1038" type="#_x0000_t202" style="position:absolute;left:0;text-align:left;margin-left:36.55pt;margin-top:3.1pt;width:390.75pt;height:135.75pt;z-index:251658752" filled="f">
            <v:textbox style="mso-next-textbox:#_x0000_s1038">
              <w:txbxContent>
                <w:p w:rsidR="00106FBB" w:rsidRPr="00106FBB" w:rsidRDefault="0032746A" w:rsidP="000F7AB5">
                  <w:pPr>
                    <w:ind w:left="-142"/>
                    <w:jc w:val="both"/>
                  </w:pPr>
                  <w:r>
                    <w:rPr>
                      <w:noProof/>
                      <w:lang w:eastAsia="fr-FR"/>
                    </w:rPr>
                    <w:t xml:space="preserve">  </w:t>
                  </w:r>
                  <w:r w:rsidR="00106FBB" w:rsidRPr="00106FB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38350" cy="1538538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538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04781" w:rsidRDefault="00904781" w:rsidP="002C1699">
      <w:pPr>
        <w:jc w:val="both"/>
        <w:rPr>
          <w:rFonts w:ascii="Comic Sans MS" w:hAnsi="Comic Sans MS"/>
          <w:sz w:val="21"/>
          <w:szCs w:val="21"/>
        </w:rPr>
      </w:pPr>
    </w:p>
    <w:p w:rsidR="00106FBB" w:rsidRDefault="00106FBB" w:rsidP="002C1699">
      <w:pPr>
        <w:jc w:val="both"/>
        <w:rPr>
          <w:rFonts w:ascii="Comic Sans MS" w:hAnsi="Comic Sans MS"/>
          <w:sz w:val="21"/>
          <w:szCs w:val="21"/>
        </w:rPr>
      </w:pPr>
    </w:p>
    <w:p w:rsidR="00106FBB" w:rsidRDefault="00106FBB" w:rsidP="002C1699">
      <w:pPr>
        <w:jc w:val="both"/>
        <w:rPr>
          <w:rFonts w:ascii="Comic Sans MS" w:hAnsi="Comic Sans MS"/>
          <w:sz w:val="21"/>
          <w:szCs w:val="21"/>
        </w:rPr>
      </w:pPr>
    </w:p>
    <w:p w:rsidR="00106FBB" w:rsidRDefault="00106FBB" w:rsidP="002C1699">
      <w:pPr>
        <w:jc w:val="both"/>
        <w:rPr>
          <w:rFonts w:ascii="Comic Sans MS" w:hAnsi="Comic Sans MS"/>
          <w:sz w:val="21"/>
          <w:szCs w:val="21"/>
        </w:rPr>
      </w:pPr>
    </w:p>
    <w:p w:rsidR="00106FBB" w:rsidRDefault="00106FBB" w:rsidP="002C1699">
      <w:pPr>
        <w:jc w:val="both"/>
        <w:rPr>
          <w:rFonts w:ascii="Comic Sans MS" w:hAnsi="Comic Sans MS"/>
          <w:sz w:val="21"/>
          <w:szCs w:val="21"/>
        </w:rPr>
      </w:pPr>
    </w:p>
    <w:p w:rsidR="00904781" w:rsidRDefault="00904781" w:rsidP="002C1699">
      <w:pPr>
        <w:jc w:val="both"/>
        <w:rPr>
          <w:rFonts w:ascii="Comic Sans MS" w:hAnsi="Comic Sans MS"/>
          <w:sz w:val="21"/>
          <w:szCs w:val="21"/>
        </w:rPr>
      </w:pPr>
    </w:p>
    <w:p w:rsidR="00106FBB" w:rsidRDefault="00106FBB" w:rsidP="002C1699">
      <w:pPr>
        <w:jc w:val="both"/>
        <w:rPr>
          <w:rFonts w:ascii="Comic Sans MS" w:hAnsi="Comic Sans MS"/>
          <w:sz w:val="21"/>
          <w:szCs w:val="21"/>
        </w:rPr>
      </w:pPr>
    </w:p>
    <w:p w:rsidR="00106FBB" w:rsidRDefault="00106FBB" w:rsidP="002C1699">
      <w:pPr>
        <w:jc w:val="both"/>
        <w:rPr>
          <w:rFonts w:ascii="Comic Sans MS" w:hAnsi="Comic Sans MS"/>
          <w:sz w:val="21"/>
          <w:szCs w:val="21"/>
        </w:rPr>
      </w:pPr>
    </w:p>
    <w:p w:rsidR="00106FBB" w:rsidRDefault="00106FBB" w:rsidP="002C1699">
      <w:pPr>
        <w:jc w:val="both"/>
        <w:rPr>
          <w:rFonts w:ascii="Comic Sans MS" w:hAnsi="Comic Sans MS"/>
          <w:sz w:val="21"/>
          <w:szCs w:val="21"/>
        </w:rPr>
      </w:pPr>
    </w:p>
    <w:p w:rsidR="000D7D9E" w:rsidRPr="00106FBB" w:rsidRDefault="000D7D9E" w:rsidP="00106FBB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left"/>
        <w:rPr>
          <w:rFonts w:ascii="ComicSansMS" w:hAnsi="ComicSansMS" w:cs="ComicSansMS"/>
          <w:sz w:val="20"/>
          <w:szCs w:val="20"/>
        </w:rPr>
      </w:pPr>
      <w:r w:rsidRPr="00106FBB">
        <w:rPr>
          <w:rFonts w:ascii="ComicSansMS" w:hAnsi="ComicSansMS" w:cs="ComicSansMS"/>
          <w:sz w:val="20"/>
          <w:szCs w:val="20"/>
        </w:rPr>
        <w:t>Retrouver la couleur d’une solution contenant la forme acide</w:t>
      </w:r>
      <w:r w:rsidR="00106FBB" w:rsidRPr="00106FBB">
        <w:rPr>
          <w:rFonts w:ascii="ComicSansMS" w:hAnsi="ComicSansMS" w:cs="ComicSansMS"/>
          <w:sz w:val="20"/>
          <w:szCs w:val="20"/>
        </w:rPr>
        <w:t xml:space="preserve"> </w:t>
      </w:r>
      <w:r w:rsidRPr="00106FBB">
        <w:rPr>
          <w:rFonts w:ascii="ComicSansMS" w:hAnsi="ComicSansMS" w:cs="ComicSansMS"/>
          <w:sz w:val="20"/>
          <w:szCs w:val="20"/>
        </w:rPr>
        <w:t>de l’indicateur coloré et la couleur d’</w:t>
      </w:r>
      <w:r w:rsidR="00106FBB" w:rsidRPr="00106FBB">
        <w:rPr>
          <w:rFonts w:ascii="ComicSansMS" w:hAnsi="ComicSansMS" w:cs="ComicSansMS"/>
          <w:sz w:val="20"/>
          <w:szCs w:val="20"/>
        </w:rPr>
        <w:t>une solution contenant s</w:t>
      </w:r>
      <w:r w:rsidRPr="00106FBB">
        <w:rPr>
          <w:rFonts w:ascii="ComicSansMS" w:hAnsi="ComicSansMS" w:cs="ComicSansMS"/>
          <w:sz w:val="20"/>
          <w:szCs w:val="20"/>
        </w:rPr>
        <w:t>a forme basique</w:t>
      </w:r>
      <w:r w:rsidR="00106FBB" w:rsidRPr="00106FBB">
        <w:rPr>
          <w:rFonts w:ascii="ComicSansMS" w:hAnsi="ComicSansMS" w:cs="ComicSansMS"/>
          <w:sz w:val="20"/>
          <w:szCs w:val="20"/>
        </w:rPr>
        <w:t>.</w:t>
      </w:r>
    </w:p>
    <w:p w:rsidR="000D7D9E" w:rsidRPr="000D7D9E" w:rsidRDefault="000D7D9E" w:rsidP="00106FBB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left"/>
        <w:rPr>
          <w:rFonts w:ascii="ComicSansMS" w:hAnsi="ComicSansMS" w:cs="ComicSansMS"/>
          <w:sz w:val="20"/>
          <w:szCs w:val="20"/>
        </w:rPr>
      </w:pPr>
      <w:r w:rsidRPr="000D7D9E">
        <w:rPr>
          <w:rFonts w:ascii="ComicSansMS" w:hAnsi="ComicSansMS" w:cs="ComicSansMS"/>
          <w:sz w:val="20"/>
          <w:szCs w:val="20"/>
        </w:rPr>
        <w:t>Que peut-on dire de l’absorbance de la forme acide lorsque la longueur d’onde de la lumière incidente est celle du maximum d’absorption de la forme basique ?</w:t>
      </w:r>
    </w:p>
    <w:p w:rsidR="000D7D9E" w:rsidRPr="0009749B" w:rsidRDefault="0009749B" w:rsidP="0009749B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hanging="720"/>
        <w:jc w:val="left"/>
        <w:rPr>
          <w:rFonts w:ascii="ComicSansMS" w:hAnsi="ComicSansMS" w:cs="ComicSansMS"/>
          <w:sz w:val="20"/>
          <w:szCs w:val="20"/>
        </w:rPr>
      </w:pPr>
      <w:r w:rsidRPr="0009749B">
        <w:rPr>
          <w:rFonts w:ascii="ComicSansMS" w:hAnsi="ComicSansMS" w:cs="ComicSansMS"/>
          <w:sz w:val="20"/>
          <w:szCs w:val="20"/>
        </w:rPr>
        <w:t>De quel paramètre dépend la couleur du BBT ?</w:t>
      </w:r>
    </w:p>
    <w:p w:rsidR="000F7AB5" w:rsidRPr="0032746A" w:rsidRDefault="0009749B" w:rsidP="002C1699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hanging="720"/>
        <w:jc w:val="left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 xml:space="preserve">Attribuer à chaque molécule </w:t>
      </w:r>
      <w:r>
        <w:rPr>
          <w:rFonts w:ascii="Comic Sans MS" w:hAnsi="Comic Sans MS" w:cs="ComicSansMS"/>
          <w:sz w:val="20"/>
          <w:szCs w:val="20"/>
        </w:rPr>
        <w:t>B</w:t>
      </w:r>
      <w:r w:rsidRPr="00655635">
        <w:rPr>
          <w:rFonts w:ascii="Comic Sans MS" w:hAnsi="Comic Sans MS" w:cs="ComicSansMS"/>
          <w:sz w:val="20"/>
          <w:szCs w:val="20"/>
          <w:vertAlign w:val="subscript"/>
        </w:rPr>
        <w:t>1</w:t>
      </w:r>
      <w:r>
        <w:rPr>
          <w:rFonts w:ascii="Comic Sans MS" w:hAnsi="Comic Sans MS" w:cs="ComicSansMS"/>
          <w:sz w:val="20"/>
          <w:szCs w:val="20"/>
        </w:rPr>
        <w:t xml:space="preserve"> et B</w:t>
      </w:r>
      <w:r w:rsidRPr="00655635">
        <w:rPr>
          <w:rFonts w:ascii="Comic Sans MS" w:hAnsi="Comic Sans MS" w:cs="ComicSansMS"/>
          <w:sz w:val="20"/>
          <w:szCs w:val="20"/>
          <w:vertAlign w:val="subscript"/>
        </w:rPr>
        <w:t>2</w:t>
      </w:r>
      <w:r>
        <w:rPr>
          <w:rFonts w:ascii="Comic Sans MS" w:hAnsi="Comic Sans MS" w:cs="ComicSansMS"/>
          <w:sz w:val="20"/>
          <w:szCs w:val="20"/>
        </w:rPr>
        <w:t xml:space="preserve"> sa représentation topologique. </w:t>
      </w:r>
      <w:r w:rsidR="00655635">
        <w:rPr>
          <w:rFonts w:ascii="Comic Sans MS" w:hAnsi="Comic Sans MS" w:cs="ComicSansMS"/>
          <w:sz w:val="20"/>
          <w:szCs w:val="20"/>
        </w:rPr>
        <w:t>Justifier.</w:t>
      </w:r>
    </w:p>
    <w:p w:rsidR="000F7AB5" w:rsidRDefault="000F7AB5" w:rsidP="002C1699">
      <w:pPr>
        <w:jc w:val="left"/>
        <w:rPr>
          <w:rFonts w:ascii="Comic Sans MS" w:hAnsi="Comic Sans MS"/>
          <w:sz w:val="21"/>
          <w:szCs w:val="21"/>
        </w:rPr>
      </w:pPr>
    </w:p>
    <w:p w:rsidR="005F5909" w:rsidRPr="000507AC" w:rsidRDefault="005F5909" w:rsidP="005F5909">
      <w:pPr>
        <w:jc w:val="left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Donnée</w:t>
      </w:r>
      <w:r w:rsidR="001B40ED">
        <w:rPr>
          <w:rFonts w:ascii="Comic Sans MS" w:hAnsi="Comic Sans MS"/>
          <w:b/>
          <w:sz w:val="21"/>
          <w:szCs w:val="21"/>
        </w:rPr>
        <w:t>s</w:t>
      </w:r>
      <w:r w:rsidRPr="000507AC">
        <w:rPr>
          <w:rFonts w:ascii="Comic Sans MS" w:hAnsi="Comic Sans MS"/>
          <w:b/>
          <w:sz w:val="21"/>
          <w:szCs w:val="21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077"/>
        <w:gridCol w:w="1077"/>
        <w:gridCol w:w="1077"/>
        <w:gridCol w:w="1077"/>
        <w:gridCol w:w="1077"/>
        <w:gridCol w:w="1077"/>
      </w:tblGrid>
      <w:tr w:rsidR="005F5909" w:rsidRPr="000507AC" w:rsidTr="00D8313C">
        <w:tc>
          <w:tcPr>
            <w:tcW w:w="1316" w:type="dxa"/>
          </w:tcPr>
          <w:p w:rsidR="005F5909" w:rsidRPr="000507AC" w:rsidRDefault="005F5909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couleur</w:t>
            </w:r>
          </w:p>
        </w:tc>
        <w:tc>
          <w:tcPr>
            <w:tcW w:w="1077" w:type="dxa"/>
          </w:tcPr>
          <w:p w:rsidR="005F5909" w:rsidRPr="000507AC" w:rsidRDefault="005F5909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Violet</w:t>
            </w:r>
          </w:p>
        </w:tc>
        <w:tc>
          <w:tcPr>
            <w:tcW w:w="1077" w:type="dxa"/>
          </w:tcPr>
          <w:p w:rsidR="005F5909" w:rsidRPr="000507AC" w:rsidRDefault="005F5909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Bleu</w:t>
            </w:r>
          </w:p>
        </w:tc>
        <w:tc>
          <w:tcPr>
            <w:tcW w:w="1077" w:type="dxa"/>
          </w:tcPr>
          <w:p w:rsidR="005F5909" w:rsidRPr="000507AC" w:rsidRDefault="005F5909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Vert</w:t>
            </w:r>
          </w:p>
        </w:tc>
        <w:tc>
          <w:tcPr>
            <w:tcW w:w="1077" w:type="dxa"/>
          </w:tcPr>
          <w:p w:rsidR="005F5909" w:rsidRPr="000507AC" w:rsidRDefault="005F5909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Jaune</w:t>
            </w:r>
          </w:p>
        </w:tc>
        <w:tc>
          <w:tcPr>
            <w:tcW w:w="1077" w:type="dxa"/>
          </w:tcPr>
          <w:p w:rsidR="005F5909" w:rsidRPr="000507AC" w:rsidRDefault="005F5909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Orangé</w:t>
            </w:r>
          </w:p>
        </w:tc>
        <w:tc>
          <w:tcPr>
            <w:tcW w:w="1077" w:type="dxa"/>
          </w:tcPr>
          <w:p w:rsidR="005F5909" w:rsidRPr="000507AC" w:rsidRDefault="005F5909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Rouge</w:t>
            </w:r>
          </w:p>
        </w:tc>
      </w:tr>
      <w:tr w:rsidR="005F5909" w:rsidRPr="000507AC" w:rsidTr="00D8313C">
        <w:tc>
          <w:tcPr>
            <w:tcW w:w="1316" w:type="dxa"/>
          </w:tcPr>
          <w:p w:rsidR="005F5909" w:rsidRPr="000507AC" w:rsidRDefault="005F5909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sym w:font="Symbol" w:char="F06C"/>
            </w:r>
            <w:r w:rsidRPr="000507AC">
              <w:rPr>
                <w:rFonts w:ascii="Comic Sans MS" w:hAnsi="Comic Sans MS"/>
                <w:b/>
                <w:sz w:val="21"/>
                <w:szCs w:val="21"/>
              </w:rPr>
              <w:t xml:space="preserve"> ( nm)</w:t>
            </w:r>
          </w:p>
        </w:tc>
        <w:tc>
          <w:tcPr>
            <w:tcW w:w="1077" w:type="dxa"/>
            <w:gridSpan w:val="6"/>
          </w:tcPr>
          <w:p w:rsidR="005F5909" w:rsidRPr="000507AC" w:rsidRDefault="005F5909" w:rsidP="00D8313C">
            <w:pPr>
              <w:jc w:val="both"/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 xml:space="preserve">380    450   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  5</w:t>
            </w:r>
            <w:r w:rsidRPr="000507AC">
              <w:rPr>
                <w:rFonts w:ascii="Comic Sans MS" w:hAnsi="Comic Sans MS"/>
                <w:b/>
                <w:sz w:val="21"/>
                <w:szCs w:val="21"/>
              </w:rPr>
              <w:t xml:space="preserve">00   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  570       590  </w:t>
            </w:r>
            <w:r w:rsidRPr="000507AC">
              <w:rPr>
                <w:rFonts w:ascii="Comic Sans MS" w:hAnsi="Comic Sans MS"/>
                <w:b/>
                <w:sz w:val="21"/>
                <w:szCs w:val="21"/>
              </w:rPr>
              <w:t xml:space="preserve"> 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    </w:t>
            </w:r>
            <w:r w:rsidRPr="000507AC">
              <w:rPr>
                <w:rFonts w:ascii="Comic Sans MS" w:hAnsi="Comic Sans MS"/>
                <w:b/>
                <w:sz w:val="21"/>
                <w:szCs w:val="21"/>
              </w:rPr>
              <w:t>610     780</w:t>
            </w:r>
          </w:p>
        </w:tc>
      </w:tr>
    </w:tbl>
    <w:p w:rsidR="00FA204C" w:rsidRDefault="00FA204C" w:rsidP="002C1699">
      <w:pPr>
        <w:jc w:val="left"/>
        <w:rPr>
          <w:rFonts w:ascii="Comic Sans MS" w:hAnsi="Comic Sans MS"/>
          <w:sz w:val="21"/>
          <w:szCs w:val="21"/>
        </w:rPr>
      </w:pPr>
    </w:p>
    <w:p w:rsidR="001B40ED" w:rsidRDefault="001B40ED" w:rsidP="002C1699">
      <w:pPr>
        <w:jc w:val="left"/>
        <w:rPr>
          <w:rFonts w:ascii="Comic Sans MS" w:hAnsi="Comic Sans MS"/>
          <w:sz w:val="21"/>
          <w:szCs w:val="21"/>
        </w:rPr>
      </w:pPr>
    </w:p>
    <w:p w:rsidR="001B40ED" w:rsidRPr="005F5909" w:rsidRDefault="001B40ED" w:rsidP="001B40ED">
      <w:pPr>
        <w:autoSpaceDE w:val="0"/>
        <w:autoSpaceDN w:val="0"/>
        <w:adjustRightInd w:val="0"/>
        <w:jc w:val="left"/>
        <w:rPr>
          <w:rFonts w:ascii="Comic Sans MS" w:hAnsi="Comic Sans MS"/>
          <w:sz w:val="24"/>
          <w:szCs w:val="24"/>
        </w:rPr>
      </w:pPr>
      <w:r w:rsidRPr="005F5909">
        <w:rPr>
          <w:rFonts w:ascii="Comic Sans MS" w:hAnsi="Comic Sans MS"/>
          <w:b/>
          <w:sz w:val="24"/>
          <w:szCs w:val="24"/>
        </w:rPr>
        <w:t>Application </w:t>
      </w:r>
      <w:r w:rsidRPr="005F5909">
        <w:rPr>
          <w:rFonts w:ascii="Comic Sans MS" w:hAnsi="Comic Sans MS"/>
          <w:sz w:val="24"/>
          <w:szCs w:val="24"/>
        </w:rPr>
        <w:t xml:space="preserve">: </w:t>
      </w:r>
    </w:p>
    <w:p w:rsidR="001B40ED" w:rsidRDefault="00747BDC" w:rsidP="001B40ED">
      <w:pPr>
        <w:autoSpaceDE w:val="0"/>
        <w:autoSpaceDN w:val="0"/>
        <w:adjustRightInd w:val="0"/>
        <w:jc w:val="lef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pict>
          <v:shape id="_x0000_s1047" type="#_x0000_t32" style="position:absolute;margin-left:-.75pt;margin-top:5pt;width:441.6pt;height:0;z-index:251668992" o:connectortype="straight" strokecolor="blue" strokeweight="1.5pt"/>
        </w:pict>
      </w:r>
    </w:p>
    <w:p w:rsidR="001B40ED" w:rsidRPr="00106FBB" w:rsidRDefault="001B40ED" w:rsidP="001B40ED">
      <w:pPr>
        <w:autoSpaceDE w:val="0"/>
        <w:autoSpaceDN w:val="0"/>
        <w:adjustRightInd w:val="0"/>
        <w:jc w:val="left"/>
        <w:rPr>
          <w:rFonts w:ascii="Comic Sans MS" w:hAnsi="Comic Sans MS"/>
          <w:sz w:val="20"/>
          <w:szCs w:val="20"/>
        </w:rPr>
      </w:pPr>
      <w:r w:rsidRPr="00106FBB">
        <w:rPr>
          <w:rFonts w:ascii="Comic Sans MS" w:hAnsi="Comic Sans MS" w:cs="ComicSansMS"/>
          <w:sz w:val="20"/>
          <w:szCs w:val="20"/>
        </w:rPr>
        <w:t>Le bleu de bromothymol est un indicateur coloré</w:t>
      </w:r>
      <w:r>
        <w:rPr>
          <w:rFonts w:ascii="Comic Sans MS" w:hAnsi="Comic Sans MS" w:cs="ComicSansMS"/>
          <w:sz w:val="20"/>
          <w:szCs w:val="20"/>
        </w:rPr>
        <w:t xml:space="preserve"> pouvant exister sous la forme de deux molécules notées B</w:t>
      </w:r>
      <w:r w:rsidRPr="00655635">
        <w:rPr>
          <w:rFonts w:ascii="Comic Sans MS" w:hAnsi="Comic Sans MS" w:cs="ComicSansMS"/>
          <w:sz w:val="20"/>
          <w:szCs w:val="20"/>
          <w:vertAlign w:val="subscript"/>
        </w:rPr>
        <w:t>1</w:t>
      </w:r>
      <w:r>
        <w:rPr>
          <w:rFonts w:ascii="Comic Sans MS" w:hAnsi="Comic Sans MS" w:cs="ComicSansMS"/>
          <w:sz w:val="20"/>
          <w:szCs w:val="20"/>
        </w:rPr>
        <w:t xml:space="preserve"> (en milieu acide) et B</w:t>
      </w:r>
      <w:r w:rsidRPr="00655635">
        <w:rPr>
          <w:rFonts w:ascii="Comic Sans MS" w:hAnsi="Comic Sans MS" w:cs="ComicSansMS"/>
          <w:sz w:val="20"/>
          <w:szCs w:val="20"/>
          <w:vertAlign w:val="subscript"/>
        </w:rPr>
        <w:t>2</w:t>
      </w:r>
      <w:r>
        <w:rPr>
          <w:rFonts w:ascii="Comic Sans MS" w:hAnsi="Comic Sans MS" w:cs="ComicSansMS"/>
          <w:sz w:val="20"/>
          <w:szCs w:val="20"/>
          <w:vertAlign w:val="superscript"/>
        </w:rPr>
        <w:t xml:space="preserve"> </w:t>
      </w:r>
      <w:r>
        <w:rPr>
          <w:rFonts w:ascii="Comic Sans MS" w:hAnsi="Comic Sans MS" w:cs="ComicSansMS"/>
          <w:sz w:val="20"/>
          <w:szCs w:val="20"/>
        </w:rPr>
        <w:t>(en milieu basique)</w:t>
      </w:r>
      <w:r w:rsidRPr="00106FBB">
        <w:rPr>
          <w:rFonts w:ascii="Comic Sans MS" w:hAnsi="Comic Sans MS" w:cs="ComicSansMS"/>
          <w:sz w:val="20"/>
          <w:szCs w:val="20"/>
        </w:rPr>
        <w:t xml:space="preserve">. Le </w:t>
      </w:r>
      <w:r>
        <w:rPr>
          <w:rFonts w:ascii="Comic Sans MS" w:hAnsi="Comic Sans MS" w:cs="ComicSansMS"/>
          <w:sz w:val="20"/>
          <w:szCs w:val="20"/>
        </w:rPr>
        <w:t>document</w:t>
      </w:r>
      <w:r w:rsidRPr="00106FBB">
        <w:rPr>
          <w:rFonts w:ascii="Comic Sans MS" w:hAnsi="Comic Sans MS" w:cs="ComicSansMS"/>
          <w:sz w:val="20"/>
          <w:szCs w:val="20"/>
        </w:rPr>
        <w:t xml:space="preserve"> ci-dessous montre les spectres d’absorption </w:t>
      </w:r>
      <w:r>
        <w:rPr>
          <w:rFonts w:ascii="Comic Sans MS" w:hAnsi="Comic Sans MS" w:cs="ComicSansMS"/>
          <w:sz w:val="20"/>
          <w:szCs w:val="20"/>
        </w:rPr>
        <w:t>de chacune des deux formes ainsi que leurs représentations topologiques :</w:t>
      </w:r>
    </w:p>
    <w:p w:rsidR="001B40ED" w:rsidRDefault="00747BDC" w:rsidP="001B40E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noProof/>
          <w:sz w:val="21"/>
          <w:szCs w:val="21"/>
          <w:lang w:eastAsia="fr-FR"/>
        </w:rPr>
        <w:pict>
          <v:shape id="_x0000_s1046" type="#_x0000_t202" style="position:absolute;left:0;text-align:left;margin-left:205.6pt;margin-top:13.55pt;width:241.5pt;height:120.05pt;z-index:251667968" stroked="f">
            <v:textbox style="mso-next-textbox:#_x0000_s1046">
              <w:txbxContent>
                <w:p w:rsidR="001B40ED" w:rsidRDefault="001B40ED" w:rsidP="001B40ED">
                  <w:pPr>
                    <w:jc w:val="both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31968" cy="1333500"/>
                        <wp:effectExtent l="19050" t="0" r="6482" b="0"/>
                        <wp:docPr id="6" name="Image 1" descr="BB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0537" cy="1337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1"/>
          <w:szCs w:val="21"/>
          <w:lang w:eastAsia="fr-FR"/>
        </w:rPr>
        <w:pict>
          <v:shape id="_x0000_s1045" type="#_x0000_t202" style="position:absolute;left:0;text-align:left;margin-left:36.55pt;margin-top:3.1pt;width:390.75pt;height:135.75pt;z-index:251666944" filled="f">
            <v:textbox style="mso-next-textbox:#_x0000_s1045">
              <w:txbxContent>
                <w:p w:rsidR="001B40ED" w:rsidRPr="00106FBB" w:rsidRDefault="001B40ED" w:rsidP="001B40ED">
                  <w:pPr>
                    <w:ind w:left="-142"/>
                    <w:jc w:val="both"/>
                  </w:pPr>
                  <w:r>
                    <w:rPr>
                      <w:noProof/>
                      <w:lang w:eastAsia="fr-FR"/>
                    </w:rPr>
                    <w:t xml:space="preserve">  </w:t>
                  </w:r>
                  <w:r w:rsidRPr="00106FB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38350" cy="1538538"/>
                        <wp:effectExtent l="19050" t="0" r="0" b="0"/>
                        <wp:docPr id="7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538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B40ED" w:rsidRDefault="001B40ED" w:rsidP="001B40ED">
      <w:pPr>
        <w:jc w:val="both"/>
        <w:rPr>
          <w:rFonts w:ascii="Comic Sans MS" w:hAnsi="Comic Sans MS"/>
          <w:sz w:val="21"/>
          <w:szCs w:val="21"/>
        </w:rPr>
      </w:pPr>
    </w:p>
    <w:p w:rsidR="001B40ED" w:rsidRDefault="001B40ED" w:rsidP="001B40ED">
      <w:pPr>
        <w:jc w:val="both"/>
        <w:rPr>
          <w:rFonts w:ascii="Comic Sans MS" w:hAnsi="Comic Sans MS"/>
          <w:sz w:val="21"/>
          <w:szCs w:val="21"/>
        </w:rPr>
      </w:pPr>
    </w:p>
    <w:p w:rsidR="001B40ED" w:rsidRDefault="001B40ED" w:rsidP="001B40ED">
      <w:pPr>
        <w:jc w:val="both"/>
        <w:rPr>
          <w:rFonts w:ascii="Comic Sans MS" w:hAnsi="Comic Sans MS"/>
          <w:sz w:val="21"/>
          <w:szCs w:val="21"/>
        </w:rPr>
      </w:pPr>
    </w:p>
    <w:p w:rsidR="001B40ED" w:rsidRDefault="001B40ED" w:rsidP="001B40ED">
      <w:pPr>
        <w:jc w:val="both"/>
        <w:rPr>
          <w:rFonts w:ascii="Comic Sans MS" w:hAnsi="Comic Sans MS"/>
          <w:sz w:val="21"/>
          <w:szCs w:val="21"/>
        </w:rPr>
      </w:pPr>
    </w:p>
    <w:p w:rsidR="001B40ED" w:rsidRDefault="001B40ED" w:rsidP="001B40ED">
      <w:pPr>
        <w:jc w:val="both"/>
        <w:rPr>
          <w:rFonts w:ascii="Comic Sans MS" w:hAnsi="Comic Sans MS"/>
          <w:sz w:val="21"/>
          <w:szCs w:val="21"/>
        </w:rPr>
      </w:pPr>
    </w:p>
    <w:p w:rsidR="001B40ED" w:rsidRDefault="001B40ED" w:rsidP="001B40ED">
      <w:pPr>
        <w:jc w:val="both"/>
        <w:rPr>
          <w:rFonts w:ascii="Comic Sans MS" w:hAnsi="Comic Sans MS"/>
          <w:sz w:val="21"/>
          <w:szCs w:val="21"/>
        </w:rPr>
      </w:pPr>
    </w:p>
    <w:p w:rsidR="001B40ED" w:rsidRDefault="001B40ED" w:rsidP="001B40ED">
      <w:pPr>
        <w:jc w:val="both"/>
        <w:rPr>
          <w:rFonts w:ascii="Comic Sans MS" w:hAnsi="Comic Sans MS"/>
          <w:sz w:val="21"/>
          <w:szCs w:val="21"/>
        </w:rPr>
      </w:pPr>
    </w:p>
    <w:p w:rsidR="001B40ED" w:rsidRDefault="001B40ED" w:rsidP="001B40ED">
      <w:pPr>
        <w:jc w:val="both"/>
        <w:rPr>
          <w:rFonts w:ascii="Comic Sans MS" w:hAnsi="Comic Sans MS"/>
          <w:sz w:val="21"/>
          <w:szCs w:val="21"/>
        </w:rPr>
      </w:pPr>
    </w:p>
    <w:p w:rsidR="001B40ED" w:rsidRDefault="001B40ED" w:rsidP="001B40ED">
      <w:pPr>
        <w:jc w:val="both"/>
        <w:rPr>
          <w:rFonts w:ascii="Comic Sans MS" w:hAnsi="Comic Sans MS"/>
          <w:sz w:val="21"/>
          <w:szCs w:val="21"/>
        </w:rPr>
      </w:pPr>
    </w:p>
    <w:p w:rsidR="001B40ED" w:rsidRPr="001B40ED" w:rsidRDefault="001B40ED" w:rsidP="001B40ED">
      <w:pPr>
        <w:pStyle w:val="Paragraphedeliste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left"/>
        <w:rPr>
          <w:rFonts w:ascii="ComicSansMS" w:hAnsi="ComicSansMS" w:cs="ComicSansMS"/>
          <w:sz w:val="20"/>
          <w:szCs w:val="20"/>
        </w:rPr>
      </w:pPr>
      <w:r w:rsidRPr="001B40ED">
        <w:rPr>
          <w:rFonts w:ascii="ComicSansMS" w:hAnsi="ComicSansMS" w:cs="ComicSansMS"/>
          <w:sz w:val="20"/>
          <w:szCs w:val="20"/>
        </w:rPr>
        <w:t>Retrouver la couleur d’une solution contenant la forme acide de l’indicateur coloré et la couleur d’une solution contenant sa forme basique.</w:t>
      </w:r>
    </w:p>
    <w:p w:rsidR="001B40ED" w:rsidRPr="000D7D9E" w:rsidRDefault="001B40ED" w:rsidP="001B40ED">
      <w:pPr>
        <w:pStyle w:val="Paragraphedeliste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left"/>
        <w:rPr>
          <w:rFonts w:ascii="ComicSansMS" w:hAnsi="ComicSansMS" w:cs="ComicSansMS"/>
          <w:sz w:val="20"/>
          <w:szCs w:val="20"/>
        </w:rPr>
      </w:pPr>
      <w:r w:rsidRPr="000D7D9E">
        <w:rPr>
          <w:rFonts w:ascii="ComicSansMS" w:hAnsi="ComicSansMS" w:cs="ComicSansMS"/>
          <w:sz w:val="20"/>
          <w:szCs w:val="20"/>
        </w:rPr>
        <w:t>Que peut-on dire de l’absorbance de la forme acide lorsque la longueur d’onde de la lumière incidente est celle du maximum d’absorption de la forme basique ?</w:t>
      </w:r>
    </w:p>
    <w:p w:rsidR="001B40ED" w:rsidRPr="0009749B" w:rsidRDefault="001B40ED" w:rsidP="001B40ED">
      <w:pPr>
        <w:pStyle w:val="Paragraphedeliste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hanging="720"/>
        <w:jc w:val="left"/>
        <w:rPr>
          <w:rFonts w:ascii="ComicSansMS" w:hAnsi="ComicSansMS" w:cs="ComicSansMS"/>
          <w:sz w:val="20"/>
          <w:szCs w:val="20"/>
        </w:rPr>
      </w:pPr>
      <w:r w:rsidRPr="0009749B">
        <w:rPr>
          <w:rFonts w:ascii="ComicSansMS" w:hAnsi="ComicSansMS" w:cs="ComicSansMS"/>
          <w:sz w:val="20"/>
          <w:szCs w:val="20"/>
        </w:rPr>
        <w:t>De quel paramètre dépend la couleur du BBT ?</w:t>
      </w:r>
    </w:p>
    <w:p w:rsidR="001B40ED" w:rsidRPr="0032746A" w:rsidRDefault="001B40ED" w:rsidP="001B40ED">
      <w:pPr>
        <w:pStyle w:val="Paragraphedeliste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hanging="720"/>
        <w:jc w:val="left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 xml:space="preserve">Attribuer à chaque molécule </w:t>
      </w:r>
      <w:r>
        <w:rPr>
          <w:rFonts w:ascii="Comic Sans MS" w:hAnsi="Comic Sans MS" w:cs="ComicSansMS"/>
          <w:sz w:val="20"/>
          <w:szCs w:val="20"/>
        </w:rPr>
        <w:t>B</w:t>
      </w:r>
      <w:r w:rsidRPr="00655635">
        <w:rPr>
          <w:rFonts w:ascii="Comic Sans MS" w:hAnsi="Comic Sans MS" w:cs="ComicSansMS"/>
          <w:sz w:val="20"/>
          <w:szCs w:val="20"/>
          <w:vertAlign w:val="subscript"/>
        </w:rPr>
        <w:t>1</w:t>
      </w:r>
      <w:r>
        <w:rPr>
          <w:rFonts w:ascii="Comic Sans MS" w:hAnsi="Comic Sans MS" w:cs="ComicSansMS"/>
          <w:sz w:val="20"/>
          <w:szCs w:val="20"/>
        </w:rPr>
        <w:t xml:space="preserve"> et B</w:t>
      </w:r>
      <w:r w:rsidRPr="00655635">
        <w:rPr>
          <w:rFonts w:ascii="Comic Sans MS" w:hAnsi="Comic Sans MS" w:cs="ComicSansMS"/>
          <w:sz w:val="20"/>
          <w:szCs w:val="20"/>
          <w:vertAlign w:val="subscript"/>
        </w:rPr>
        <w:t>2</w:t>
      </w:r>
      <w:r>
        <w:rPr>
          <w:rFonts w:ascii="Comic Sans MS" w:hAnsi="Comic Sans MS" w:cs="ComicSansMS"/>
          <w:sz w:val="20"/>
          <w:szCs w:val="20"/>
        </w:rPr>
        <w:t xml:space="preserve"> sa représentation topologique. Justifier.</w:t>
      </w:r>
    </w:p>
    <w:p w:rsidR="001B40ED" w:rsidRDefault="001B40ED" w:rsidP="001B40ED">
      <w:pPr>
        <w:jc w:val="left"/>
        <w:rPr>
          <w:rFonts w:ascii="Comic Sans MS" w:hAnsi="Comic Sans MS"/>
          <w:sz w:val="21"/>
          <w:szCs w:val="21"/>
        </w:rPr>
      </w:pPr>
    </w:p>
    <w:p w:rsidR="001B40ED" w:rsidRPr="000507AC" w:rsidRDefault="001B40ED" w:rsidP="001B40ED">
      <w:pPr>
        <w:jc w:val="left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Données</w:t>
      </w:r>
      <w:r w:rsidRPr="000507AC">
        <w:rPr>
          <w:rFonts w:ascii="Comic Sans MS" w:hAnsi="Comic Sans MS"/>
          <w:b/>
          <w:sz w:val="21"/>
          <w:szCs w:val="21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077"/>
        <w:gridCol w:w="1077"/>
        <w:gridCol w:w="1077"/>
        <w:gridCol w:w="1077"/>
        <w:gridCol w:w="1077"/>
        <w:gridCol w:w="1077"/>
      </w:tblGrid>
      <w:tr w:rsidR="001B40ED" w:rsidRPr="000507AC" w:rsidTr="00D8313C">
        <w:tc>
          <w:tcPr>
            <w:tcW w:w="1316" w:type="dxa"/>
          </w:tcPr>
          <w:p w:rsidR="001B40ED" w:rsidRPr="000507AC" w:rsidRDefault="001B40ED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couleur</w:t>
            </w:r>
          </w:p>
        </w:tc>
        <w:tc>
          <w:tcPr>
            <w:tcW w:w="1077" w:type="dxa"/>
          </w:tcPr>
          <w:p w:rsidR="001B40ED" w:rsidRPr="000507AC" w:rsidRDefault="001B40ED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Violet</w:t>
            </w:r>
          </w:p>
        </w:tc>
        <w:tc>
          <w:tcPr>
            <w:tcW w:w="1077" w:type="dxa"/>
          </w:tcPr>
          <w:p w:rsidR="001B40ED" w:rsidRPr="000507AC" w:rsidRDefault="001B40ED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Bleu</w:t>
            </w:r>
          </w:p>
        </w:tc>
        <w:tc>
          <w:tcPr>
            <w:tcW w:w="1077" w:type="dxa"/>
          </w:tcPr>
          <w:p w:rsidR="001B40ED" w:rsidRPr="000507AC" w:rsidRDefault="001B40ED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Vert</w:t>
            </w:r>
          </w:p>
        </w:tc>
        <w:tc>
          <w:tcPr>
            <w:tcW w:w="1077" w:type="dxa"/>
          </w:tcPr>
          <w:p w:rsidR="001B40ED" w:rsidRPr="000507AC" w:rsidRDefault="001B40ED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Jaune</w:t>
            </w:r>
          </w:p>
        </w:tc>
        <w:tc>
          <w:tcPr>
            <w:tcW w:w="1077" w:type="dxa"/>
          </w:tcPr>
          <w:p w:rsidR="001B40ED" w:rsidRPr="000507AC" w:rsidRDefault="001B40ED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Orangé</w:t>
            </w:r>
          </w:p>
        </w:tc>
        <w:tc>
          <w:tcPr>
            <w:tcW w:w="1077" w:type="dxa"/>
          </w:tcPr>
          <w:p w:rsidR="001B40ED" w:rsidRPr="000507AC" w:rsidRDefault="001B40ED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>Rouge</w:t>
            </w:r>
          </w:p>
        </w:tc>
      </w:tr>
      <w:tr w:rsidR="001B40ED" w:rsidRPr="000507AC" w:rsidTr="00D8313C">
        <w:tc>
          <w:tcPr>
            <w:tcW w:w="1316" w:type="dxa"/>
          </w:tcPr>
          <w:p w:rsidR="001B40ED" w:rsidRPr="000507AC" w:rsidRDefault="001B40ED" w:rsidP="00D8313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sym w:font="Symbol" w:char="F06C"/>
            </w:r>
            <w:r w:rsidRPr="000507AC">
              <w:rPr>
                <w:rFonts w:ascii="Comic Sans MS" w:hAnsi="Comic Sans MS"/>
                <w:b/>
                <w:sz w:val="21"/>
                <w:szCs w:val="21"/>
              </w:rPr>
              <w:t xml:space="preserve"> ( nm)</w:t>
            </w:r>
          </w:p>
        </w:tc>
        <w:tc>
          <w:tcPr>
            <w:tcW w:w="1077" w:type="dxa"/>
            <w:gridSpan w:val="6"/>
          </w:tcPr>
          <w:p w:rsidR="001B40ED" w:rsidRPr="000507AC" w:rsidRDefault="001B40ED" w:rsidP="00D8313C">
            <w:pPr>
              <w:jc w:val="both"/>
              <w:rPr>
                <w:rFonts w:ascii="Comic Sans MS" w:hAnsi="Comic Sans MS"/>
                <w:b/>
                <w:sz w:val="21"/>
                <w:szCs w:val="21"/>
              </w:rPr>
            </w:pPr>
            <w:r w:rsidRPr="000507AC">
              <w:rPr>
                <w:rFonts w:ascii="Comic Sans MS" w:hAnsi="Comic Sans MS"/>
                <w:b/>
                <w:sz w:val="21"/>
                <w:szCs w:val="21"/>
              </w:rPr>
              <w:t xml:space="preserve">380    450   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  5</w:t>
            </w:r>
            <w:r w:rsidRPr="000507AC">
              <w:rPr>
                <w:rFonts w:ascii="Comic Sans MS" w:hAnsi="Comic Sans MS"/>
                <w:b/>
                <w:sz w:val="21"/>
                <w:szCs w:val="21"/>
              </w:rPr>
              <w:t xml:space="preserve">00   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  570       590  </w:t>
            </w:r>
            <w:r w:rsidRPr="000507AC">
              <w:rPr>
                <w:rFonts w:ascii="Comic Sans MS" w:hAnsi="Comic Sans MS"/>
                <w:b/>
                <w:sz w:val="21"/>
                <w:szCs w:val="21"/>
              </w:rPr>
              <w:t xml:space="preserve"> 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    </w:t>
            </w:r>
            <w:r w:rsidRPr="000507AC">
              <w:rPr>
                <w:rFonts w:ascii="Comic Sans MS" w:hAnsi="Comic Sans MS"/>
                <w:b/>
                <w:sz w:val="21"/>
                <w:szCs w:val="21"/>
              </w:rPr>
              <w:t>610     780</w:t>
            </w:r>
          </w:p>
        </w:tc>
      </w:tr>
    </w:tbl>
    <w:p w:rsidR="001B40ED" w:rsidRDefault="001B40ED" w:rsidP="002C1699">
      <w:pPr>
        <w:jc w:val="left"/>
        <w:rPr>
          <w:rFonts w:ascii="Comic Sans MS" w:hAnsi="Comic Sans MS"/>
          <w:sz w:val="21"/>
          <w:szCs w:val="21"/>
        </w:rPr>
        <w:sectPr w:rsidR="001B40ED" w:rsidSect="00FF4F77">
          <w:pgSz w:w="11906" w:h="16838"/>
          <w:pgMar w:top="567" w:right="567" w:bottom="678" w:left="567" w:header="708" w:footer="708" w:gutter="0"/>
          <w:cols w:space="708"/>
          <w:docGrid w:linePitch="360"/>
        </w:sectPr>
      </w:pPr>
    </w:p>
    <w:tbl>
      <w:tblPr>
        <w:tblStyle w:val="Grilledutableau"/>
        <w:tblW w:w="15984" w:type="dxa"/>
        <w:tblLayout w:type="fixed"/>
        <w:tblLook w:val="04A0"/>
      </w:tblPr>
      <w:tblGrid>
        <w:gridCol w:w="1809"/>
        <w:gridCol w:w="4820"/>
        <w:gridCol w:w="6095"/>
        <w:gridCol w:w="3260"/>
      </w:tblGrid>
      <w:tr w:rsidR="00FF4F77" w:rsidRPr="00510DD3" w:rsidTr="00877467">
        <w:tc>
          <w:tcPr>
            <w:tcW w:w="1809" w:type="dxa"/>
            <w:vAlign w:val="center"/>
          </w:tcPr>
          <w:p w:rsidR="00FF4F77" w:rsidRPr="00510DD3" w:rsidRDefault="00FF4F77" w:rsidP="00D8313C">
            <w:pPr>
              <w:jc w:val="center"/>
              <w:rPr>
                <w:b/>
              </w:rPr>
            </w:pPr>
            <w:r w:rsidRPr="00510DD3">
              <w:rPr>
                <w:b/>
              </w:rPr>
              <w:lastRenderedPageBreak/>
              <w:t>Nom</w:t>
            </w:r>
          </w:p>
        </w:tc>
        <w:tc>
          <w:tcPr>
            <w:tcW w:w="4820" w:type="dxa"/>
            <w:vAlign w:val="center"/>
          </w:tcPr>
          <w:p w:rsidR="00FF4F77" w:rsidRPr="00510DD3" w:rsidRDefault="00FF4F77" w:rsidP="00D8313C">
            <w:pPr>
              <w:jc w:val="center"/>
              <w:rPr>
                <w:b/>
              </w:rPr>
            </w:pPr>
            <w:r w:rsidRPr="00510DD3">
              <w:rPr>
                <w:b/>
              </w:rPr>
              <w:t>Formule semi-développée</w:t>
            </w:r>
          </w:p>
        </w:tc>
        <w:tc>
          <w:tcPr>
            <w:tcW w:w="6095" w:type="dxa"/>
            <w:vAlign w:val="center"/>
          </w:tcPr>
          <w:p w:rsidR="00FF4F77" w:rsidRPr="00510DD3" w:rsidRDefault="00FF4F77" w:rsidP="00D8313C">
            <w:pPr>
              <w:jc w:val="center"/>
              <w:rPr>
                <w:b/>
              </w:rPr>
            </w:pPr>
            <w:r w:rsidRPr="00510DD3">
              <w:rPr>
                <w:b/>
              </w:rPr>
              <w:t>Formule topologique</w:t>
            </w:r>
          </w:p>
        </w:tc>
        <w:tc>
          <w:tcPr>
            <w:tcW w:w="3260" w:type="dxa"/>
            <w:vAlign w:val="center"/>
          </w:tcPr>
          <w:p w:rsidR="00FF4F77" w:rsidRPr="00510DD3" w:rsidRDefault="00FF4F77" w:rsidP="00D8313C">
            <w:pPr>
              <w:jc w:val="center"/>
              <w:rPr>
                <w:b/>
              </w:rPr>
            </w:pPr>
            <w:r w:rsidRPr="00510DD3">
              <w:rPr>
                <w:b/>
              </w:rPr>
              <w:t>Propriété</w:t>
            </w:r>
            <w:r>
              <w:rPr>
                <w:b/>
              </w:rPr>
              <w:t>s</w:t>
            </w:r>
          </w:p>
        </w:tc>
      </w:tr>
      <w:tr w:rsidR="00FF4F77" w:rsidRPr="005F5297" w:rsidTr="00877467">
        <w:tc>
          <w:tcPr>
            <w:tcW w:w="1809" w:type="dxa"/>
            <w:vAlign w:val="center"/>
          </w:tcPr>
          <w:p w:rsidR="00FF4F77" w:rsidRPr="005F5297" w:rsidRDefault="00FF4F77" w:rsidP="00D8313C">
            <w:pPr>
              <w:jc w:val="center"/>
            </w:pPr>
            <w:r w:rsidRPr="005F5297">
              <w:t>Anthraquinone</w:t>
            </w:r>
          </w:p>
        </w:tc>
        <w:tc>
          <w:tcPr>
            <w:tcW w:w="4820" w:type="dxa"/>
            <w:vAlign w:val="center"/>
          </w:tcPr>
          <w:p w:rsidR="00FF4F77" w:rsidRPr="005F5297" w:rsidRDefault="00D27D64" w:rsidP="00D8313C">
            <w:pPr>
              <w:jc w:val="center"/>
            </w:pPr>
            <w:r w:rsidRPr="005F5297">
              <w:rPr>
                <w:rFonts w:eastAsiaTheme="minorHAnsi"/>
              </w:rPr>
              <w:object w:dxaOrig="2875" w:dyaOrig="21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25pt;height:81.35pt" o:ole="">
                  <v:imagedata r:id="rId11" o:title=""/>
                </v:shape>
                <o:OLEObject Type="Embed" ProgID="ACD.ChemSketch.20" ShapeID="_x0000_i1025" DrawAspect="Content" ObjectID="_1473576584" r:id="rId12"/>
              </w:object>
            </w:r>
          </w:p>
        </w:tc>
        <w:tc>
          <w:tcPr>
            <w:tcW w:w="6095" w:type="dxa"/>
            <w:vAlign w:val="center"/>
          </w:tcPr>
          <w:p w:rsidR="00FF4F77" w:rsidRPr="005F5297" w:rsidRDefault="00D27D64" w:rsidP="00D8313C">
            <w:pPr>
              <w:jc w:val="center"/>
            </w:pPr>
            <w:r w:rsidRPr="005F5297">
              <w:rPr>
                <w:rFonts w:eastAsiaTheme="minorHAnsi"/>
              </w:rPr>
              <w:object w:dxaOrig="2285" w:dyaOrig="1824">
                <v:shape id="_x0000_i1026" type="#_x0000_t75" style="width:91.65pt;height:73.85pt" o:ole="">
                  <v:imagedata r:id="rId13" o:title=""/>
                </v:shape>
                <o:OLEObject Type="Embed" ProgID="ACD.ChemSketch.20" ShapeID="_x0000_i1026" DrawAspect="Content" ObjectID="_1473576585" r:id="rId14"/>
              </w:object>
            </w:r>
          </w:p>
        </w:tc>
        <w:tc>
          <w:tcPr>
            <w:tcW w:w="3260" w:type="dxa"/>
            <w:vAlign w:val="center"/>
          </w:tcPr>
          <w:p w:rsidR="00FF4F77" w:rsidRPr="00877467" w:rsidRDefault="00FF4F77" w:rsidP="00D8313C">
            <w:pPr>
              <w:jc w:val="both"/>
              <w:rPr>
                <w:sz w:val="21"/>
                <w:szCs w:val="21"/>
              </w:rPr>
            </w:pPr>
            <w:r w:rsidRPr="00877467">
              <w:rPr>
                <w:sz w:val="21"/>
                <w:szCs w:val="21"/>
              </w:rPr>
              <w:t>Présent à l'état naturel chez un certain nombre d'animaux et de plantes comme par exemple dans certains lichens et leur donne leur couleur jaune</w:t>
            </w:r>
          </w:p>
        </w:tc>
      </w:tr>
      <w:tr w:rsidR="00D27D64" w:rsidRPr="005F5297" w:rsidTr="00877467">
        <w:tc>
          <w:tcPr>
            <w:tcW w:w="1809" w:type="dxa"/>
            <w:vAlign w:val="center"/>
          </w:tcPr>
          <w:p w:rsidR="00D27D64" w:rsidRPr="005F5297" w:rsidRDefault="00D27D64" w:rsidP="00D8313C">
            <w:pPr>
              <w:jc w:val="center"/>
            </w:pPr>
            <w:r>
              <w:t>(</w:t>
            </w:r>
            <w:r w:rsidRPr="005F5297">
              <w:t>3</w:t>
            </w:r>
            <w:r w:rsidRPr="005F5297">
              <w:rPr>
                <w:iCs/>
              </w:rPr>
              <w:t>E</w:t>
            </w:r>
            <w:r w:rsidRPr="005F5297">
              <w:t>,5</w:t>
            </w:r>
            <w:r w:rsidRPr="005F5297">
              <w:rPr>
                <w:iCs/>
              </w:rPr>
              <w:t>E</w:t>
            </w:r>
            <w:r w:rsidR="00877467">
              <w:t>)-octa-1,3,5,7-té</w:t>
            </w:r>
            <w:r w:rsidRPr="005F5297">
              <w:t>traene</w:t>
            </w:r>
          </w:p>
          <w:p w:rsidR="00D27D64" w:rsidRPr="005F5297" w:rsidRDefault="00D27D64" w:rsidP="00D8313C">
            <w:pPr>
              <w:jc w:val="center"/>
            </w:pPr>
          </w:p>
        </w:tc>
        <w:tc>
          <w:tcPr>
            <w:tcW w:w="4820" w:type="dxa"/>
            <w:vAlign w:val="center"/>
          </w:tcPr>
          <w:p w:rsidR="00D27D64" w:rsidRPr="005F5297" w:rsidRDefault="00D27D64" w:rsidP="00D8313C">
            <w:pPr>
              <w:jc w:val="center"/>
            </w:pPr>
            <w:r w:rsidRPr="005F5297">
              <w:rPr>
                <w:rFonts w:eastAsiaTheme="minorHAnsi"/>
              </w:rPr>
              <w:object w:dxaOrig="3552" w:dyaOrig="523">
                <v:shape id="_x0000_i1027" type="#_x0000_t75" style="width:177.65pt;height:26.2pt" o:ole="">
                  <v:imagedata r:id="rId15" o:title=""/>
                </v:shape>
                <o:OLEObject Type="Embed" ProgID="ACD.ChemSketch.20" ShapeID="_x0000_i1027" DrawAspect="Content" ObjectID="_1473576586" r:id="rId16"/>
              </w:object>
            </w:r>
          </w:p>
        </w:tc>
        <w:tc>
          <w:tcPr>
            <w:tcW w:w="6095" w:type="dxa"/>
          </w:tcPr>
          <w:p w:rsidR="00D27D64" w:rsidRPr="005F5297" w:rsidRDefault="00D27D64" w:rsidP="00D8313C"/>
        </w:tc>
        <w:tc>
          <w:tcPr>
            <w:tcW w:w="3260" w:type="dxa"/>
            <w:vAlign w:val="center"/>
          </w:tcPr>
          <w:p w:rsidR="00D27D64" w:rsidRPr="00877467" w:rsidRDefault="00D27D64" w:rsidP="00D8313C">
            <w:pPr>
              <w:rPr>
                <w:sz w:val="21"/>
                <w:szCs w:val="21"/>
              </w:rPr>
            </w:pPr>
            <w:r w:rsidRPr="00877467">
              <w:rPr>
                <w:sz w:val="21"/>
                <w:szCs w:val="21"/>
              </w:rPr>
              <w:t>Cette molécule fait partie de polyène</w:t>
            </w:r>
            <w:r w:rsidR="004E1D08">
              <w:rPr>
                <w:sz w:val="21"/>
                <w:szCs w:val="21"/>
              </w:rPr>
              <w:t>s</w:t>
            </w:r>
            <w:r w:rsidRPr="00877467">
              <w:rPr>
                <w:sz w:val="21"/>
                <w:szCs w:val="21"/>
              </w:rPr>
              <w:t xml:space="preserve"> insaturés et n’est pas colorée.</w:t>
            </w:r>
          </w:p>
        </w:tc>
      </w:tr>
      <w:tr w:rsidR="00FF4F77" w:rsidRPr="005F5297" w:rsidTr="00877467">
        <w:tc>
          <w:tcPr>
            <w:tcW w:w="1809" w:type="dxa"/>
            <w:vAlign w:val="center"/>
          </w:tcPr>
          <w:p w:rsidR="00FF4F77" w:rsidRPr="005F5297" w:rsidRDefault="00FF4F77" w:rsidP="00D8313C">
            <w:pPr>
              <w:jc w:val="center"/>
            </w:pPr>
            <w:r w:rsidRPr="005F5297">
              <w:t>Squalène</w:t>
            </w:r>
          </w:p>
        </w:tc>
        <w:tc>
          <w:tcPr>
            <w:tcW w:w="4820" w:type="dxa"/>
          </w:tcPr>
          <w:p w:rsidR="00FF4F77" w:rsidRPr="005F5297" w:rsidRDefault="00FF4F77" w:rsidP="00D8313C"/>
        </w:tc>
        <w:tc>
          <w:tcPr>
            <w:tcW w:w="6095" w:type="dxa"/>
            <w:vAlign w:val="center"/>
          </w:tcPr>
          <w:p w:rsidR="00FF4F77" w:rsidRPr="005F5297" w:rsidRDefault="00FF4F77" w:rsidP="00D8313C">
            <w:pPr>
              <w:jc w:val="center"/>
            </w:pPr>
            <w:r w:rsidRPr="005F5297">
              <w:rPr>
                <w:rFonts w:eastAsiaTheme="minorHAnsi"/>
              </w:rPr>
              <w:object w:dxaOrig="6269" w:dyaOrig="811">
                <v:shape id="_x0000_i1028" type="#_x0000_t75" style="width:287.05pt;height:36.45pt" o:ole="">
                  <v:imagedata r:id="rId17" o:title=""/>
                </v:shape>
                <o:OLEObject Type="Embed" ProgID="ACD.ChemSketch.20" ShapeID="_x0000_i1028" DrawAspect="Content" ObjectID="_1473576587" r:id="rId18"/>
              </w:object>
            </w:r>
          </w:p>
        </w:tc>
        <w:tc>
          <w:tcPr>
            <w:tcW w:w="3260" w:type="dxa"/>
          </w:tcPr>
          <w:p w:rsidR="00FF4F77" w:rsidRPr="00877467" w:rsidRDefault="00FF4F77" w:rsidP="00D27D64">
            <w:pPr>
              <w:jc w:val="both"/>
              <w:rPr>
                <w:sz w:val="21"/>
                <w:szCs w:val="21"/>
              </w:rPr>
            </w:pPr>
            <w:r w:rsidRPr="00877467">
              <w:rPr>
                <w:sz w:val="21"/>
                <w:szCs w:val="21"/>
              </w:rPr>
              <w:t>Cette molécule</w:t>
            </w:r>
            <w:r w:rsidR="00D27D64" w:rsidRPr="00877467">
              <w:rPr>
                <w:sz w:val="21"/>
                <w:szCs w:val="21"/>
              </w:rPr>
              <w:t xml:space="preserve"> incolore</w:t>
            </w:r>
            <w:r w:rsidRPr="00877467">
              <w:rPr>
                <w:sz w:val="21"/>
                <w:szCs w:val="21"/>
              </w:rPr>
              <w:t xml:space="preserve"> est présente en grande quantité dans l’huile du foie des requins. Il est utilisé comme adjuvants dans les vaccins. </w:t>
            </w:r>
          </w:p>
        </w:tc>
      </w:tr>
      <w:tr w:rsidR="00FF4F77" w:rsidRPr="005F5297" w:rsidTr="00877467">
        <w:tc>
          <w:tcPr>
            <w:tcW w:w="1809" w:type="dxa"/>
            <w:vAlign w:val="center"/>
          </w:tcPr>
          <w:p w:rsidR="00FF4F77" w:rsidRPr="005F5297" w:rsidRDefault="00FF4F77" w:rsidP="00D8313C">
            <w:pPr>
              <w:jc w:val="center"/>
            </w:pPr>
            <w:r w:rsidRPr="005F5297">
              <w:t>Anthracène</w:t>
            </w:r>
          </w:p>
        </w:tc>
        <w:tc>
          <w:tcPr>
            <w:tcW w:w="4820" w:type="dxa"/>
            <w:vAlign w:val="center"/>
          </w:tcPr>
          <w:p w:rsidR="00FF4F77" w:rsidRPr="005F5297" w:rsidRDefault="00FF4F77" w:rsidP="00D8313C">
            <w:pPr>
              <w:jc w:val="center"/>
            </w:pPr>
            <w:r w:rsidRPr="005F5297">
              <w:rPr>
                <w:rFonts w:eastAsiaTheme="minorHAnsi"/>
              </w:rPr>
              <w:object w:dxaOrig="2875" w:dyaOrig="1166">
                <v:shape id="_x0000_i1029" type="#_x0000_t75" style="width:2in;height:58.9pt" o:ole="">
                  <v:imagedata r:id="rId19" o:title=""/>
                </v:shape>
                <o:OLEObject Type="Embed" ProgID="ACD.ChemSketch.20" ShapeID="_x0000_i1029" DrawAspect="Content" ObjectID="_1473576588" r:id="rId20"/>
              </w:object>
            </w:r>
          </w:p>
        </w:tc>
        <w:tc>
          <w:tcPr>
            <w:tcW w:w="6095" w:type="dxa"/>
            <w:vAlign w:val="center"/>
          </w:tcPr>
          <w:p w:rsidR="00FF4F77" w:rsidRPr="005F5297" w:rsidRDefault="00FF4F77" w:rsidP="00D8313C">
            <w:pPr>
              <w:jc w:val="center"/>
            </w:pPr>
          </w:p>
        </w:tc>
        <w:tc>
          <w:tcPr>
            <w:tcW w:w="3260" w:type="dxa"/>
            <w:vAlign w:val="center"/>
          </w:tcPr>
          <w:p w:rsidR="00FF4F77" w:rsidRPr="00877467" w:rsidRDefault="00FF4F77" w:rsidP="004E1D08">
            <w:pPr>
              <w:rPr>
                <w:sz w:val="21"/>
                <w:szCs w:val="21"/>
              </w:rPr>
            </w:pPr>
            <w:r w:rsidRPr="00877467">
              <w:rPr>
                <w:sz w:val="21"/>
                <w:szCs w:val="21"/>
              </w:rPr>
              <w:t>L'anthracène</w:t>
            </w:r>
            <w:r w:rsidR="00D27D64" w:rsidRPr="00877467">
              <w:rPr>
                <w:sz w:val="21"/>
                <w:szCs w:val="21"/>
              </w:rPr>
              <w:t>, jaune pâle,</w:t>
            </w:r>
            <w:r w:rsidRPr="00877467">
              <w:rPr>
                <w:sz w:val="21"/>
                <w:szCs w:val="21"/>
              </w:rPr>
              <w:t xml:space="preserve"> est un composé chimique  que l’on obtient à partir du goudron. Il est utilisé pour la production industrielle des insecticides. </w:t>
            </w:r>
          </w:p>
        </w:tc>
      </w:tr>
      <w:tr w:rsidR="00FF4F77" w:rsidRPr="005F5297" w:rsidTr="00877467">
        <w:tc>
          <w:tcPr>
            <w:tcW w:w="1809" w:type="dxa"/>
            <w:vAlign w:val="center"/>
          </w:tcPr>
          <w:p w:rsidR="00FF4F77" w:rsidRPr="005F5297" w:rsidRDefault="00FF4F77" w:rsidP="00D8313C">
            <w:pPr>
              <w:jc w:val="center"/>
            </w:pPr>
            <w:r>
              <w:t>Cynanine-4 à chaine ouverte</w:t>
            </w:r>
          </w:p>
        </w:tc>
        <w:tc>
          <w:tcPr>
            <w:tcW w:w="4820" w:type="dxa"/>
            <w:vAlign w:val="center"/>
          </w:tcPr>
          <w:p w:rsidR="00FF4F77" w:rsidRPr="005F5297" w:rsidRDefault="00FF4F77" w:rsidP="00D8313C">
            <w:pPr>
              <w:ind w:left="-108"/>
              <w:jc w:val="center"/>
            </w:pPr>
            <w:r w:rsidRPr="005F5297">
              <w:rPr>
                <w:rFonts w:eastAsiaTheme="minorHAnsi"/>
              </w:rPr>
              <w:object w:dxaOrig="5410" w:dyaOrig="1109">
                <v:shape id="_x0000_i1030" type="#_x0000_t75" style="width:229.1pt;height:47.7pt" o:ole="">
                  <v:imagedata r:id="rId21" o:title=""/>
                </v:shape>
                <o:OLEObject Type="Embed" ProgID="ACD.ChemSketch.20" ShapeID="_x0000_i1030" DrawAspect="Content" ObjectID="_1473576589" r:id="rId22"/>
              </w:object>
            </w:r>
          </w:p>
        </w:tc>
        <w:tc>
          <w:tcPr>
            <w:tcW w:w="6095" w:type="dxa"/>
            <w:vAlign w:val="center"/>
          </w:tcPr>
          <w:p w:rsidR="00FF4F77" w:rsidRPr="005F5297" w:rsidRDefault="00FF4F77" w:rsidP="00D8313C">
            <w:pPr>
              <w:jc w:val="center"/>
            </w:pPr>
          </w:p>
        </w:tc>
        <w:tc>
          <w:tcPr>
            <w:tcW w:w="3260" w:type="dxa"/>
            <w:vMerge w:val="restart"/>
            <w:vAlign w:val="center"/>
          </w:tcPr>
          <w:p w:rsidR="00FF4F77" w:rsidRPr="00877467" w:rsidRDefault="00FF4F77" w:rsidP="00D8313C">
            <w:pPr>
              <w:jc w:val="both"/>
              <w:rPr>
                <w:sz w:val="21"/>
                <w:szCs w:val="21"/>
              </w:rPr>
            </w:pPr>
            <w:r w:rsidRPr="00877467">
              <w:rPr>
                <w:sz w:val="21"/>
                <w:szCs w:val="21"/>
              </w:rPr>
              <w:t>Cette molécule fait partie des cyanines. Il s’agit d’une famille de marqueurs synthétiques et sont aussi utilisées dans les CD-R et DVD-R. La cyanine-4 est rouge et la cyanine-6 est bleu-cyan.</w:t>
            </w:r>
          </w:p>
        </w:tc>
      </w:tr>
      <w:tr w:rsidR="00FF4F77" w:rsidRPr="005F5297" w:rsidTr="00877467">
        <w:tc>
          <w:tcPr>
            <w:tcW w:w="1809" w:type="dxa"/>
            <w:vAlign w:val="center"/>
          </w:tcPr>
          <w:p w:rsidR="00FF4F77" w:rsidRPr="005F5297" w:rsidRDefault="00FF4F77" w:rsidP="00D8313C">
            <w:pPr>
              <w:jc w:val="center"/>
            </w:pPr>
            <w:r>
              <w:t>Cynanine-6 à chaine ouverte</w:t>
            </w:r>
          </w:p>
        </w:tc>
        <w:tc>
          <w:tcPr>
            <w:tcW w:w="4820" w:type="dxa"/>
          </w:tcPr>
          <w:p w:rsidR="00FF4F77" w:rsidRPr="005F5297" w:rsidRDefault="00FF4F77" w:rsidP="00D8313C"/>
        </w:tc>
        <w:tc>
          <w:tcPr>
            <w:tcW w:w="6095" w:type="dxa"/>
            <w:vAlign w:val="center"/>
          </w:tcPr>
          <w:p w:rsidR="00FF4F77" w:rsidRPr="005F5297" w:rsidRDefault="00FF4F77" w:rsidP="00D8313C">
            <w:pPr>
              <w:jc w:val="center"/>
            </w:pPr>
            <w:r w:rsidRPr="005F5297">
              <w:rPr>
                <w:rFonts w:eastAsiaTheme="minorHAnsi"/>
              </w:rPr>
              <w:object w:dxaOrig="4863" w:dyaOrig="720">
                <v:shape id="_x0000_i1031" type="#_x0000_t75" style="width:243.1pt;height:36.45pt" o:ole="">
                  <v:imagedata r:id="rId23" o:title=""/>
                </v:shape>
                <o:OLEObject Type="Embed" ProgID="ACD.ChemSketch.20" ShapeID="_x0000_i1031" DrawAspect="Content" ObjectID="_1473576590" r:id="rId24"/>
              </w:object>
            </w:r>
          </w:p>
        </w:tc>
        <w:tc>
          <w:tcPr>
            <w:tcW w:w="3260" w:type="dxa"/>
            <w:vMerge/>
          </w:tcPr>
          <w:p w:rsidR="00FF4F77" w:rsidRPr="00877467" w:rsidRDefault="00FF4F77" w:rsidP="00D8313C">
            <w:pPr>
              <w:rPr>
                <w:sz w:val="21"/>
                <w:szCs w:val="21"/>
              </w:rPr>
            </w:pPr>
          </w:p>
        </w:tc>
      </w:tr>
      <w:tr w:rsidR="00877467" w:rsidRPr="005F5297" w:rsidTr="00877467">
        <w:trPr>
          <w:trHeight w:val="1425"/>
        </w:trPr>
        <w:tc>
          <w:tcPr>
            <w:tcW w:w="1809" w:type="dxa"/>
            <w:vAlign w:val="center"/>
          </w:tcPr>
          <w:p w:rsidR="00877467" w:rsidRDefault="00877467" w:rsidP="00FA204C">
            <w:r>
              <w:t>Phénolphtaléine (forme incolore)</w:t>
            </w:r>
          </w:p>
        </w:tc>
        <w:tc>
          <w:tcPr>
            <w:tcW w:w="4820" w:type="dxa"/>
            <w:vAlign w:val="center"/>
          </w:tcPr>
          <w:p w:rsidR="00877467" w:rsidRPr="005F5297" w:rsidRDefault="00877467" w:rsidP="00D8313C">
            <w:r w:rsidRPr="00877467">
              <w:rPr>
                <w:noProof/>
                <w:lang w:eastAsia="fr-FR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23495</wp:posOffset>
                  </wp:positionV>
                  <wp:extent cx="1499870" cy="1303020"/>
                  <wp:effectExtent l="19050" t="0" r="5080" b="0"/>
                  <wp:wrapTight wrapText="bothSides">
                    <wp:wrapPolygon edited="0">
                      <wp:start x="-274" y="0"/>
                      <wp:lineTo x="-274" y="21158"/>
                      <wp:lineTo x="21673" y="21158"/>
                      <wp:lineTo x="21673" y="0"/>
                      <wp:lineTo x="-274" y="0"/>
                    </wp:wrapPolygon>
                  </wp:wrapTight>
                  <wp:docPr id="8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vAlign w:val="center"/>
          </w:tcPr>
          <w:p w:rsidR="00877467" w:rsidRDefault="00877467" w:rsidP="00D8313C">
            <w:pPr>
              <w:rPr>
                <w:noProof/>
                <w:lang w:eastAsia="fr-FR"/>
              </w:rPr>
            </w:pPr>
          </w:p>
        </w:tc>
        <w:tc>
          <w:tcPr>
            <w:tcW w:w="3260" w:type="dxa"/>
            <w:vAlign w:val="center"/>
          </w:tcPr>
          <w:p w:rsidR="00877467" w:rsidRDefault="00877467" w:rsidP="00877467">
            <w:pPr>
              <w:contextualSpacing/>
              <w:jc w:val="both"/>
              <w:rPr>
                <w:sz w:val="21"/>
                <w:szCs w:val="21"/>
              </w:rPr>
            </w:pPr>
            <w:r w:rsidRPr="00877467">
              <w:rPr>
                <w:sz w:val="21"/>
                <w:szCs w:val="21"/>
              </w:rPr>
              <w:t xml:space="preserve">La </w:t>
            </w:r>
            <w:r w:rsidRPr="00877467">
              <w:rPr>
                <w:bCs/>
                <w:sz w:val="21"/>
                <w:szCs w:val="21"/>
              </w:rPr>
              <w:t>phénolphtaléine</w:t>
            </w:r>
            <w:r w:rsidRPr="00877467">
              <w:rPr>
                <w:sz w:val="21"/>
                <w:szCs w:val="21"/>
              </w:rPr>
              <w:t xml:space="preserve"> est un </w:t>
            </w:r>
            <w:hyperlink r:id="rId26" w:tooltip="Indicateur de pH" w:history="1">
              <w:r w:rsidRPr="00877467">
                <w:rPr>
                  <w:rStyle w:val="Lienhypertexte"/>
                  <w:color w:val="auto"/>
                  <w:sz w:val="21"/>
                  <w:szCs w:val="21"/>
                  <w:u w:val="none"/>
                </w:rPr>
                <w:t>indicateur de pH</w:t>
              </w:r>
            </w:hyperlink>
            <w:r w:rsidRPr="00877467">
              <w:rPr>
                <w:sz w:val="21"/>
                <w:szCs w:val="21"/>
              </w:rPr>
              <w:t xml:space="preserve"> (ou un indicateur coloré), c'est-à-dire un composé qui change de couleur selon la valeur du </w:t>
            </w:r>
            <w:hyperlink r:id="rId27" w:tooltip="Potentiel hydrogène" w:history="1">
              <w:r w:rsidRPr="00877467">
                <w:rPr>
                  <w:rStyle w:val="Lienhypertexte"/>
                  <w:color w:val="auto"/>
                  <w:sz w:val="21"/>
                  <w:szCs w:val="21"/>
                  <w:u w:val="none"/>
                </w:rPr>
                <w:t>pH</w:t>
              </w:r>
            </w:hyperlink>
            <w:r w:rsidRPr="00877467">
              <w:rPr>
                <w:sz w:val="21"/>
                <w:szCs w:val="21"/>
              </w:rPr>
              <w:t xml:space="preserve"> de la solution dans laquelle on le place.</w:t>
            </w:r>
          </w:p>
          <w:p w:rsidR="004E1D08" w:rsidRPr="00877467" w:rsidRDefault="004E1D08" w:rsidP="00877467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  <w:tr w:rsidR="00FF4F77" w:rsidRPr="005F5297" w:rsidTr="004E1D08">
        <w:trPr>
          <w:trHeight w:val="1672"/>
        </w:trPr>
        <w:tc>
          <w:tcPr>
            <w:tcW w:w="1809" w:type="dxa"/>
            <w:vAlign w:val="center"/>
          </w:tcPr>
          <w:p w:rsidR="00FF4F77" w:rsidRDefault="00FF4F77" w:rsidP="00D8313C">
            <w:pPr>
              <w:jc w:val="center"/>
            </w:pPr>
            <w:r>
              <w:t>Alizarine</w:t>
            </w:r>
          </w:p>
        </w:tc>
        <w:tc>
          <w:tcPr>
            <w:tcW w:w="4820" w:type="dxa"/>
            <w:vAlign w:val="center"/>
          </w:tcPr>
          <w:p w:rsidR="00FF4F77" w:rsidRPr="005F5297" w:rsidRDefault="004E1D08" w:rsidP="00D8313C">
            <w:pPr>
              <w:jc w:val="center"/>
            </w:pPr>
            <w:r w:rsidRPr="005F5297">
              <w:rPr>
                <w:rFonts w:eastAsiaTheme="minorHAnsi"/>
              </w:rPr>
              <w:object w:dxaOrig="3288" w:dyaOrig="2107">
                <v:shape id="_x0000_i1032" type="#_x0000_t75" style="width:118.75pt;height:75.75pt" o:ole="">
                  <v:imagedata r:id="rId28" o:title=""/>
                </v:shape>
                <o:OLEObject Type="Embed" ProgID="ACD.ChemSketch.20" ShapeID="_x0000_i1032" DrawAspect="Content" ObjectID="_1473576591" r:id="rId29"/>
              </w:object>
            </w:r>
          </w:p>
        </w:tc>
        <w:tc>
          <w:tcPr>
            <w:tcW w:w="6095" w:type="dxa"/>
            <w:vAlign w:val="center"/>
          </w:tcPr>
          <w:p w:rsidR="00FF4F77" w:rsidRPr="005F5297" w:rsidRDefault="00FF4F77" w:rsidP="00D8313C">
            <w:pPr>
              <w:jc w:val="center"/>
            </w:pPr>
          </w:p>
        </w:tc>
        <w:tc>
          <w:tcPr>
            <w:tcW w:w="3260" w:type="dxa"/>
            <w:vAlign w:val="center"/>
          </w:tcPr>
          <w:p w:rsidR="00FF4F77" w:rsidRPr="00877467" w:rsidRDefault="00FF4F77" w:rsidP="00D8313C">
            <w:pPr>
              <w:jc w:val="both"/>
              <w:rPr>
                <w:sz w:val="21"/>
                <w:szCs w:val="21"/>
              </w:rPr>
            </w:pPr>
            <w:r w:rsidRPr="00877467">
              <w:rPr>
                <w:sz w:val="21"/>
                <w:szCs w:val="21"/>
              </w:rPr>
              <w:t>L'alizarine est un colorant rouge d'origine végétale, extrait de la racine de la garance des teinturiers</w:t>
            </w:r>
          </w:p>
        </w:tc>
      </w:tr>
    </w:tbl>
    <w:p w:rsidR="002C1699" w:rsidRPr="000507AC" w:rsidRDefault="002C1699" w:rsidP="00E952E1">
      <w:pPr>
        <w:jc w:val="left"/>
        <w:rPr>
          <w:rFonts w:ascii="Comic Sans MS" w:hAnsi="Comic Sans MS"/>
          <w:sz w:val="21"/>
          <w:szCs w:val="21"/>
        </w:rPr>
      </w:pPr>
    </w:p>
    <w:sectPr w:rsidR="002C1699" w:rsidRPr="000507AC" w:rsidSect="00D27D64">
      <w:pgSz w:w="16838" w:h="11906" w:orient="landscape"/>
      <w:pgMar w:top="510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5FF" w:rsidRDefault="007455FF" w:rsidP="00676684">
      <w:r>
        <w:separator/>
      </w:r>
    </w:p>
  </w:endnote>
  <w:endnote w:type="continuationSeparator" w:id="1">
    <w:p w:rsidR="007455FF" w:rsidRDefault="007455FF" w:rsidP="0067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5FF" w:rsidRDefault="007455FF" w:rsidP="00676684">
      <w:r>
        <w:separator/>
      </w:r>
    </w:p>
  </w:footnote>
  <w:footnote w:type="continuationSeparator" w:id="1">
    <w:p w:rsidR="007455FF" w:rsidRDefault="007455FF" w:rsidP="00676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BA4"/>
    <w:multiLevelType w:val="hybridMultilevel"/>
    <w:tmpl w:val="2E26B52E"/>
    <w:lvl w:ilvl="0" w:tplc="878214C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42CB"/>
    <w:multiLevelType w:val="hybridMultilevel"/>
    <w:tmpl w:val="2A64B7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6FD"/>
    <w:multiLevelType w:val="hybridMultilevel"/>
    <w:tmpl w:val="4B489C76"/>
    <w:lvl w:ilvl="0" w:tplc="0604483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74D56"/>
    <w:multiLevelType w:val="hybridMultilevel"/>
    <w:tmpl w:val="F0C2FDFE"/>
    <w:lvl w:ilvl="0" w:tplc="AC3E36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C7E97"/>
    <w:multiLevelType w:val="hybridMultilevel"/>
    <w:tmpl w:val="CDC8F066"/>
    <w:lvl w:ilvl="0" w:tplc="986AA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22BE6"/>
    <w:multiLevelType w:val="hybridMultilevel"/>
    <w:tmpl w:val="89C6D8AE"/>
    <w:lvl w:ilvl="0" w:tplc="F5B6CD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8465F"/>
    <w:multiLevelType w:val="hybridMultilevel"/>
    <w:tmpl w:val="750CAD56"/>
    <w:lvl w:ilvl="0" w:tplc="4A90E9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D590C"/>
    <w:multiLevelType w:val="hybridMultilevel"/>
    <w:tmpl w:val="27043B94"/>
    <w:lvl w:ilvl="0" w:tplc="E5EC42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E5016"/>
    <w:multiLevelType w:val="hybridMultilevel"/>
    <w:tmpl w:val="5DEEF752"/>
    <w:lvl w:ilvl="0" w:tplc="040C0017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85983"/>
    <w:multiLevelType w:val="hybridMultilevel"/>
    <w:tmpl w:val="6AB87DEA"/>
    <w:lvl w:ilvl="0" w:tplc="F5B6C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A0316"/>
    <w:multiLevelType w:val="hybridMultilevel"/>
    <w:tmpl w:val="BDBA1818"/>
    <w:lvl w:ilvl="0" w:tplc="040C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D36C0"/>
    <w:multiLevelType w:val="hybridMultilevel"/>
    <w:tmpl w:val="B3288A0A"/>
    <w:lvl w:ilvl="0" w:tplc="040C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3AE"/>
    <w:rsid w:val="00010B4D"/>
    <w:rsid w:val="000507AC"/>
    <w:rsid w:val="0009749B"/>
    <w:rsid w:val="000D5B63"/>
    <w:rsid w:val="000D640D"/>
    <w:rsid w:val="000D7D9E"/>
    <w:rsid w:val="000F667E"/>
    <w:rsid w:val="000F7AB5"/>
    <w:rsid w:val="0010331F"/>
    <w:rsid w:val="00106FBB"/>
    <w:rsid w:val="00192C6A"/>
    <w:rsid w:val="001B40ED"/>
    <w:rsid w:val="001F75A7"/>
    <w:rsid w:val="0025516B"/>
    <w:rsid w:val="002C1699"/>
    <w:rsid w:val="0032746A"/>
    <w:rsid w:val="003B1238"/>
    <w:rsid w:val="004A1567"/>
    <w:rsid w:val="004E1D08"/>
    <w:rsid w:val="005303AE"/>
    <w:rsid w:val="00595EB6"/>
    <w:rsid w:val="005F5909"/>
    <w:rsid w:val="00655635"/>
    <w:rsid w:val="00667A8A"/>
    <w:rsid w:val="00676684"/>
    <w:rsid w:val="006D7355"/>
    <w:rsid w:val="007455FF"/>
    <w:rsid w:val="00747BDC"/>
    <w:rsid w:val="007C7587"/>
    <w:rsid w:val="00830B04"/>
    <w:rsid w:val="00854603"/>
    <w:rsid w:val="00877467"/>
    <w:rsid w:val="00890B13"/>
    <w:rsid w:val="008F0A0D"/>
    <w:rsid w:val="00904781"/>
    <w:rsid w:val="009055BF"/>
    <w:rsid w:val="009C64F1"/>
    <w:rsid w:val="00AA3EEA"/>
    <w:rsid w:val="00CA6514"/>
    <w:rsid w:val="00CC65C2"/>
    <w:rsid w:val="00CD33B1"/>
    <w:rsid w:val="00CF0CAD"/>
    <w:rsid w:val="00D21974"/>
    <w:rsid w:val="00D27D64"/>
    <w:rsid w:val="00DF3257"/>
    <w:rsid w:val="00E85FE4"/>
    <w:rsid w:val="00E952E1"/>
    <w:rsid w:val="00F67CE0"/>
    <w:rsid w:val="00FA204C"/>
    <w:rsid w:val="00FF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44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3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16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6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766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76684"/>
  </w:style>
  <w:style w:type="paragraph" w:styleId="Pieddepage">
    <w:name w:val="footer"/>
    <w:basedOn w:val="Normal"/>
    <w:link w:val="PieddepageCar"/>
    <w:uiPriority w:val="99"/>
    <w:semiHidden/>
    <w:unhideWhenUsed/>
    <w:rsid w:val="006766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6684"/>
  </w:style>
  <w:style w:type="table" w:styleId="Grilledutableau">
    <w:name w:val="Table Grid"/>
    <w:basedOn w:val="TableauNormal"/>
    <w:uiPriority w:val="59"/>
    <w:rsid w:val="00FF4F77"/>
    <w:pPr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890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hyperlink" Target="http://fr.wikipedia.org/wiki/Indicateur_de_pH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image" Target="media/image3.emf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yperlink" Target="http://fr.wikipedia.org/wiki/Potentiel_hydrog%C3%A8n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9E6E-6852-484F-BD20-06000A98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 bertrand</cp:lastModifiedBy>
  <cp:revision>2</cp:revision>
  <dcterms:created xsi:type="dcterms:W3CDTF">2014-09-30T08:03:00Z</dcterms:created>
  <dcterms:modified xsi:type="dcterms:W3CDTF">2014-09-30T08:03:00Z</dcterms:modified>
</cp:coreProperties>
</file>